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proofErr w:type="gramStart"/>
      <w:r w:rsidRPr="00965F8C">
        <w:rPr>
          <w:sz w:val="28"/>
          <w:szCs w:val="28"/>
        </w:rPr>
        <w:t>Prezado Associado</w:t>
      </w:r>
      <w:proofErr w:type="gramEnd"/>
      <w:r w:rsidRPr="00965F8C">
        <w:rPr>
          <w:sz w:val="28"/>
          <w:szCs w:val="28"/>
        </w:rPr>
        <w:t>,</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7E1867">
        <w:rPr>
          <w:sz w:val="28"/>
          <w:szCs w:val="28"/>
        </w:rPr>
        <w:t>14</w:t>
      </w:r>
      <w:r w:rsidR="00953420">
        <w:rPr>
          <w:sz w:val="28"/>
          <w:szCs w:val="28"/>
        </w:rPr>
        <w:t xml:space="preserve"> a 1</w:t>
      </w:r>
      <w:r w:rsidR="007E1867">
        <w:rPr>
          <w:sz w:val="28"/>
          <w:szCs w:val="28"/>
        </w:rPr>
        <w:t>8</w:t>
      </w:r>
      <w:r w:rsidR="008D23D8">
        <w:rPr>
          <w:sz w:val="28"/>
          <w:szCs w:val="28"/>
        </w:rPr>
        <w:t xml:space="preserve"> de novembro</w:t>
      </w:r>
      <w:r w:rsidR="003609C5">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EA443D" w:rsidRDefault="00EA443D" w:rsidP="00EA443D">
      <w:pPr>
        <w:shd w:val="clear" w:color="auto" w:fill="FFFFFF"/>
        <w:spacing w:after="0" w:line="270" w:lineRule="atLeast"/>
        <w:textAlignment w:val="baseline"/>
        <w:rPr>
          <w:rFonts w:eastAsia="Times New Roman" w:cs="Arial"/>
          <w:b/>
          <w:bCs/>
          <w:color w:val="FF0000"/>
          <w:sz w:val="24"/>
          <w:szCs w:val="24"/>
          <w:lang w:eastAsia="pt-BR"/>
        </w:rPr>
      </w:pPr>
    </w:p>
    <w:p w:rsidR="00BB0999" w:rsidRDefault="00BB0999" w:rsidP="00EA443D">
      <w:pPr>
        <w:shd w:val="clear" w:color="auto" w:fill="FFFFFF"/>
        <w:spacing w:after="0" w:line="270" w:lineRule="atLeast"/>
        <w:textAlignment w:val="baseline"/>
        <w:rPr>
          <w:rFonts w:eastAsia="Times New Roman" w:cs="Arial"/>
          <w:b/>
          <w:bCs/>
          <w:color w:val="FF0000"/>
          <w:sz w:val="24"/>
          <w:szCs w:val="24"/>
          <w:lang w:eastAsia="pt-BR"/>
        </w:rPr>
      </w:pPr>
    </w:p>
    <w:p w:rsidR="008B7D25" w:rsidRDefault="008B7D25" w:rsidP="00F02824">
      <w:pPr>
        <w:shd w:val="clear" w:color="auto" w:fill="FFFFFF"/>
        <w:spacing w:after="0" w:line="240" w:lineRule="auto"/>
        <w:textAlignment w:val="top"/>
        <w:rPr>
          <w:b/>
          <w:sz w:val="24"/>
          <w:szCs w:val="24"/>
        </w:rPr>
      </w:pPr>
    </w:p>
    <w:p w:rsidR="00B73EE9" w:rsidRDefault="008B7D25" w:rsidP="008B7D25">
      <w:pPr>
        <w:pStyle w:val="NormalWeb"/>
        <w:jc w:val="both"/>
        <w:rPr>
          <w:rFonts w:asciiTheme="minorHAnsi" w:hAnsiTheme="minorHAnsi"/>
          <w:b/>
        </w:rPr>
      </w:pPr>
      <w:r>
        <w:rPr>
          <w:rFonts w:asciiTheme="minorHAnsi" w:hAnsiTheme="minorHAnsi"/>
          <w:b/>
        </w:rPr>
        <w:t>C</w:t>
      </w:r>
      <w:r w:rsidRPr="008B7D25">
        <w:rPr>
          <w:rFonts w:asciiTheme="minorHAnsi" w:hAnsiTheme="minorHAnsi"/>
          <w:b/>
        </w:rPr>
        <w:t>ONVÊNIO ICMS 122, DE 11 DE NOVEMBRO DE 2016 (DOU 14/11/2016)</w:t>
      </w:r>
    </w:p>
    <w:p w:rsidR="00B73EE9" w:rsidRDefault="00B73EE9" w:rsidP="008B7D25">
      <w:pPr>
        <w:pStyle w:val="NormalWeb"/>
        <w:jc w:val="both"/>
        <w:rPr>
          <w:rFonts w:asciiTheme="minorHAnsi" w:hAnsiTheme="minorHAnsi"/>
          <w:b/>
        </w:rPr>
      </w:pPr>
      <w:r w:rsidRPr="008B7D25">
        <w:rPr>
          <w:rFonts w:asciiTheme="minorHAnsi" w:hAnsiTheme="minorHAnsi"/>
          <w:b/>
        </w:rPr>
        <w:t xml:space="preserve"> </w:t>
      </w:r>
      <w:r w:rsidR="008B7D25" w:rsidRPr="008B7D25">
        <w:rPr>
          <w:rFonts w:asciiTheme="minorHAnsi" w:hAnsiTheme="minorHAnsi"/>
          <w:b/>
        </w:rPr>
        <w:t>CONVÊNIO ICMS 123, DE 11 DE NOVEMBRO DE 2016 (DOU 14/11/2016)</w:t>
      </w:r>
      <w:r w:rsidR="008B7D25">
        <w:rPr>
          <w:rFonts w:asciiTheme="minorHAnsi" w:hAnsiTheme="minorHAnsi"/>
          <w:b/>
        </w:rPr>
        <w:t xml:space="preserve"> </w:t>
      </w:r>
    </w:p>
    <w:p w:rsidR="008B7D25" w:rsidRDefault="008B7D25" w:rsidP="008B7D25">
      <w:pPr>
        <w:pStyle w:val="NormalWeb"/>
        <w:jc w:val="both"/>
        <w:rPr>
          <w:rFonts w:asciiTheme="minorHAnsi" w:hAnsiTheme="minorHAnsi"/>
        </w:rPr>
      </w:pPr>
      <w:r w:rsidRPr="008B7D25">
        <w:rPr>
          <w:rFonts w:asciiTheme="minorHAnsi" w:hAnsiTheme="minorHAnsi"/>
          <w:b/>
        </w:rPr>
        <w:t>CONVÊNIO ICMS 124, DE 11 DE NOVEMBRO DE 2016 (DOU 14/11/2016)</w:t>
      </w:r>
      <w:r>
        <w:rPr>
          <w:rFonts w:asciiTheme="minorHAnsi" w:hAnsiTheme="minorHAnsi"/>
          <w:b/>
        </w:rPr>
        <w:t xml:space="preserve"> </w:t>
      </w:r>
    </w:p>
    <w:p w:rsidR="00571392" w:rsidRDefault="008B7D25" w:rsidP="00B73EE9">
      <w:pPr>
        <w:pStyle w:val="NormalWeb"/>
        <w:jc w:val="both"/>
        <w:rPr>
          <w:rFonts w:cs="Arial"/>
          <w:b/>
          <w:bCs/>
          <w:color w:val="FF0000"/>
        </w:rPr>
      </w:pPr>
      <w:r w:rsidRPr="008B7D25">
        <w:rPr>
          <w:rFonts w:asciiTheme="minorHAnsi" w:hAnsiTheme="minorHAnsi"/>
          <w:b/>
        </w:rPr>
        <w:t>CONVÊNIO ICMS 125, DE 11 DE NOVEMBRO DE 2016 (DOU 14/11/2016)</w:t>
      </w:r>
      <w:r w:rsidR="00E15674">
        <w:rPr>
          <w:rFonts w:asciiTheme="minorHAnsi" w:hAnsiTheme="minorHAnsi"/>
          <w:b/>
        </w:rPr>
        <w:t xml:space="preserve"> </w:t>
      </w:r>
    </w:p>
    <w:p w:rsidR="009B0585" w:rsidRDefault="009B0585" w:rsidP="009B0585">
      <w:pPr>
        <w:shd w:val="clear" w:color="auto" w:fill="FFFFFF"/>
        <w:spacing w:after="0" w:line="240" w:lineRule="auto"/>
        <w:textAlignment w:val="baseline"/>
        <w:rPr>
          <w:rFonts w:ascii="Arial" w:hAnsi="Arial" w:cs="Arial"/>
          <w:color w:val="000000"/>
        </w:rPr>
      </w:pPr>
    </w:p>
    <w:p w:rsidR="0055689F" w:rsidRDefault="000F0372" w:rsidP="00B73EE9">
      <w:pPr>
        <w:textAlignment w:val="top"/>
        <w:rPr>
          <w:rFonts w:eastAsia="Times New Roman" w:cs="Arial"/>
          <w:b/>
          <w:bCs/>
          <w:color w:val="FF0000"/>
          <w:sz w:val="24"/>
          <w:szCs w:val="24"/>
          <w:lang w:eastAsia="pt-BR"/>
        </w:rPr>
      </w:pPr>
      <w:r>
        <w:rPr>
          <w:b/>
          <w:sz w:val="24"/>
          <w:szCs w:val="24"/>
        </w:rPr>
        <w:t xml:space="preserve">PORTARIA SECEX Nº 47, DE 11 DE NOVEMBRO DE 2016 - </w:t>
      </w:r>
      <w:r w:rsidR="009B0585" w:rsidRPr="00BB3BDB">
        <w:rPr>
          <w:b/>
          <w:sz w:val="24"/>
          <w:szCs w:val="24"/>
        </w:rPr>
        <w:t xml:space="preserve">ESOLUÇÃO CAMEX Nº </w:t>
      </w:r>
      <w:r w:rsidR="00BB3BDB" w:rsidRPr="00BB3BDB">
        <w:rPr>
          <w:b/>
          <w:sz w:val="24"/>
          <w:szCs w:val="24"/>
        </w:rPr>
        <w:t>10</w:t>
      </w:r>
      <w:r w:rsidR="00571392">
        <w:rPr>
          <w:b/>
          <w:sz w:val="24"/>
          <w:szCs w:val="24"/>
        </w:rPr>
        <w:t>9</w:t>
      </w:r>
      <w:r w:rsidR="00BB3BDB" w:rsidRPr="00BB3BDB">
        <w:rPr>
          <w:b/>
          <w:sz w:val="24"/>
          <w:szCs w:val="24"/>
        </w:rPr>
        <w:t xml:space="preserve">, DE </w:t>
      </w:r>
      <w:r w:rsidR="00571392">
        <w:rPr>
          <w:b/>
          <w:sz w:val="24"/>
          <w:szCs w:val="24"/>
        </w:rPr>
        <w:t>08 DE</w:t>
      </w:r>
      <w:r w:rsidR="000841D6" w:rsidRPr="000841D6">
        <w:rPr>
          <w:b/>
          <w:sz w:val="24"/>
          <w:szCs w:val="24"/>
        </w:rPr>
        <w:t xml:space="preserve"> NOVEMBRO DE 2016 (DOU </w:t>
      </w:r>
      <w:r w:rsidR="00571392">
        <w:rPr>
          <w:b/>
          <w:sz w:val="24"/>
          <w:szCs w:val="24"/>
        </w:rPr>
        <w:t>1</w:t>
      </w:r>
      <w:r w:rsidR="000841D6" w:rsidRPr="000841D6">
        <w:rPr>
          <w:b/>
          <w:sz w:val="24"/>
          <w:szCs w:val="24"/>
        </w:rPr>
        <w:t>0/11/2016)</w:t>
      </w:r>
      <w:r w:rsidR="009B0585" w:rsidRPr="00BB3BDB">
        <w:rPr>
          <w:b/>
          <w:sz w:val="24"/>
          <w:szCs w:val="24"/>
        </w:rPr>
        <w:t xml:space="preserve"> – </w:t>
      </w:r>
      <w:r w:rsidR="009B0585" w:rsidRPr="00BB3BDB">
        <w:rPr>
          <w:sz w:val="24"/>
          <w:szCs w:val="24"/>
        </w:rPr>
        <w:t xml:space="preserve"> </w:t>
      </w:r>
    </w:p>
    <w:p w:rsidR="0083402B" w:rsidRDefault="0083402B" w:rsidP="0083402B">
      <w:pPr>
        <w:shd w:val="clear" w:color="auto" w:fill="FFFFFF"/>
        <w:spacing w:after="0" w:line="270" w:lineRule="atLeast"/>
        <w:textAlignment w:val="baseline"/>
        <w:rPr>
          <w:rFonts w:cs="Arial"/>
          <w:color w:val="003333"/>
          <w:sz w:val="24"/>
          <w:szCs w:val="24"/>
        </w:rPr>
      </w:pPr>
    </w:p>
    <w:p w:rsidR="00275136" w:rsidRDefault="0083402B" w:rsidP="00B73EE9">
      <w:pPr>
        <w:shd w:val="clear" w:color="auto" w:fill="FFFFFF"/>
        <w:spacing w:after="0" w:line="270" w:lineRule="atLeast"/>
        <w:textAlignment w:val="baseline"/>
        <w:rPr>
          <w:rFonts w:eastAsia="Times New Roman" w:cs="Arial"/>
          <w:b/>
          <w:bCs/>
          <w:color w:val="FF0000"/>
          <w:sz w:val="24"/>
          <w:szCs w:val="24"/>
          <w:lang w:eastAsia="pt-BR"/>
        </w:rPr>
      </w:pPr>
      <w:r w:rsidRPr="00BC4319">
        <w:rPr>
          <w:rFonts w:eastAsia="Times New Roman" w:cs="Arial"/>
          <w:b/>
          <w:bCs/>
          <w:sz w:val="24"/>
          <w:szCs w:val="24"/>
          <w:lang w:eastAsia="pt-BR"/>
        </w:rPr>
        <w:t>N</w:t>
      </w:r>
      <w:r w:rsidR="00DB59E3" w:rsidRPr="00BC4319">
        <w:rPr>
          <w:rFonts w:eastAsia="Times New Roman" w:cs="Arial"/>
          <w:b/>
          <w:bCs/>
          <w:sz w:val="24"/>
          <w:szCs w:val="24"/>
          <w:lang w:eastAsia="pt-BR"/>
        </w:rPr>
        <w:t>OTÍCIAS SISCOMEX IMPORTAÇÃO Nº 1</w:t>
      </w:r>
      <w:r w:rsidR="00BC4319" w:rsidRPr="00BC4319">
        <w:rPr>
          <w:rFonts w:eastAsia="Times New Roman" w:cs="Arial"/>
          <w:b/>
          <w:bCs/>
          <w:sz w:val="24"/>
          <w:szCs w:val="24"/>
          <w:lang w:eastAsia="pt-BR"/>
        </w:rPr>
        <w:t>10</w:t>
      </w:r>
      <w:r w:rsidRPr="00BC4319">
        <w:rPr>
          <w:rFonts w:eastAsia="Times New Roman" w:cs="Arial"/>
          <w:b/>
          <w:bCs/>
          <w:sz w:val="24"/>
          <w:szCs w:val="24"/>
          <w:lang w:eastAsia="pt-BR"/>
        </w:rPr>
        <w:t xml:space="preserve">, DE </w:t>
      </w:r>
      <w:r w:rsidR="00BC4319" w:rsidRPr="00BC4319">
        <w:rPr>
          <w:rFonts w:eastAsia="Times New Roman" w:cs="Arial"/>
          <w:b/>
          <w:bCs/>
          <w:sz w:val="24"/>
          <w:szCs w:val="24"/>
          <w:lang w:eastAsia="pt-BR"/>
        </w:rPr>
        <w:t>1</w:t>
      </w:r>
      <w:r w:rsidR="00DB59E3" w:rsidRPr="00BC4319">
        <w:rPr>
          <w:rFonts w:eastAsia="Times New Roman" w:cs="Arial"/>
          <w:b/>
          <w:bCs/>
          <w:sz w:val="24"/>
          <w:szCs w:val="24"/>
          <w:lang w:eastAsia="pt-BR"/>
        </w:rPr>
        <w:t>7</w:t>
      </w:r>
      <w:r w:rsidRPr="00BC4319">
        <w:rPr>
          <w:rFonts w:eastAsia="Times New Roman" w:cs="Arial"/>
          <w:b/>
          <w:bCs/>
          <w:sz w:val="24"/>
          <w:szCs w:val="24"/>
          <w:lang w:eastAsia="pt-BR"/>
        </w:rPr>
        <w:t xml:space="preserve"> DE </w:t>
      </w:r>
      <w:r w:rsidR="00DB59E3" w:rsidRPr="00BC4319">
        <w:rPr>
          <w:rFonts w:eastAsia="Times New Roman" w:cs="Arial"/>
          <w:b/>
          <w:bCs/>
          <w:sz w:val="24"/>
          <w:szCs w:val="24"/>
          <w:lang w:eastAsia="pt-BR"/>
        </w:rPr>
        <w:t>NOVEMBRO</w:t>
      </w:r>
      <w:r w:rsidRPr="00BC4319">
        <w:rPr>
          <w:rFonts w:eastAsia="Times New Roman" w:cs="Arial"/>
          <w:b/>
          <w:bCs/>
          <w:sz w:val="24"/>
          <w:szCs w:val="24"/>
          <w:lang w:eastAsia="pt-BR"/>
        </w:rPr>
        <w:t xml:space="preserve"> DE 2016</w:t>
      </w:r>
    </w:p>
    <w:p w:rsidR="00275136" w:rsidRDefault="00275136" w:rsidP="0098012A">
      <w:pPr>
        <w:textAlignment w:val="top"/>
        <w:rPr>
          <w:sz w:val="24"/>
          <w:szCs w:val="24"/>
        </w:rPr>
      </w:pPr>
    </w:p>
    <w:p w:rsidR="00B73EE9" w:rsidRDefault="00275136" w:rsidP="00B73EE9">
      <w:pPr>
        <w:pStyle w:val="NormalWeb"/>
        <w:jc w:val="both"/>
        <w:rPr>
          <w:rFonts w:cs="Arial"/>
          <w:b/>
          <w:bCs/>
          <w:color w:val="FF0000"/>
        </w:rPr>
      </w:pPr>
      <w:r w:rsidRPr="00275136">
        <w:rPr>
          <w:rFonts w:asciiTheme="minorHAnsi" w:hAnsiTheme="minorHAnsi"/>
          <w:b/>
        </w:rPr>
        <w:t>SOLUÇÃO DE CONSULTA Nº 145, DE 27 DE SETEMBRO DE 2016 (DOU 17/11/2016)</w:t>
      </w:r>
    </w:p>
    <w:p w:rsidR="00432566" w:rsidRDefault="00432566" w:rsidP="00432566">
      <w:pPr>
        <w:textAlignment w:val="top"/>
        <w:rPr>
          <w:sz w:val="24"/>
          <w:szCs w:val="24"/>
        </w:rPr>
      </w:pPr>
    </w:p>
    <w:p w:rsidR="00275136" w:rsidRPr="006234D0" w:rsidRDefault="00275136" w:rsidP="00432566">
      <w:pPr>
        <w:pStyle w:val="NormalWeb"/>
        <w:jc w:val="both"/>
        <w:rPr>
          <w:rFonts w:asciiTheme="minorHAnsi" w:hAnsiTheme="minorHAnsi"/>
        </w:rPr>
      </w:pPr>
      <w:r w:rsidRPr="00275136">
        <w:rPr>
          <w:rFonts w:asciiTheme="minorHAnsi" w:hAnsiTheme="minorHAnsi"/>
          <w:b/>
        </w:rPr>
        <w:t>SOLUÇÃO DE CONSULTA Nº 148, DE 29 DE SETEMBRO DE 2016 (DOU 17/11/2016)</w:t>
      </w:r>
      <w:r w:rsidR="00432566">
        <w:rPr>
          <w:rFonts w:asciiTheme="minorHAnsi" w:hAnsiTheme="minorHAnsi"/>
          <w:b/>
        </w:rPr>
        <w:t xml:space="preserve"> </w:t>
      </w:r>
    </w:p>
    <w:p w:rsidR="00275136" w:rsidRPr="00310D92" w:rsidRDefault="00275136" w:rsidP="0098012A">
      <w:pPr>
        <w:textAlignment w:val="top"/>
        <w:rPr>
          <w:sz w:val="24"/>
          <w:szCs w:val="24"/>
        </w:rPr>
      </w:pPr>
    </w:p>
    <w:p w:rsidR="00561CB2" w:rsidRDefault="00561CB2" w:rsidP="004A408F">
      <w:pPr>
        <w:pStyle w:val="NormalWeb"/>
        <w:jc w:val="both"/>
        <w:rPr>
          <w:rFonts w:asciiTheme="minorHAnsi" w:hAnsiTheme="minorHAnsi"/>
        </w:rPr>
      </w:pPr>
    </w:p>
    <w:p w:rsidR="00AF1074" w:rsidRDefault="00BA0BD0" w:rsidP="00726405">
      <w:pPr>
        <w:pStyle w:val="NormalWeb"/>
        <w:jc w:val="center"/>
        <w:rPr>
          <w:rFonts w:asciiTheme="minorHAnsi" w:hAnsiTheme="minorHAnsi"/>
          <w:b/>
          <w:sz w:val="48"/>
          <w:szCs w:val="48"/>
        </w:rPr>
      </w:pPr>
      <w:r w:rsidRPr="009274E5">
        <w:rPr>
          <w:rFonts w:asciiTheme="minorHAnsi" w:hAnsiTheme="minorHAnsi"/>
          <w:b/>
          <w:sz w:val="48"/>
          <w:szCs w:val="48"/>
        </w:rPr>
        <w:t>ANEXO</w:t>
      </w:r>
    </w:p>
    <w:p w:rsidR="008B7D25" w:rsidRPr="008B7D25" w:rsidRDefault="0031729D" w:rsidP="008B7D25">
      <w:pPr>
        <w:pStyle w:val="NormalWeb"/>
        <w:jc w:val="center"/>
        <w:rPr>
          <w:rFonts w:asciiTheme="minorHAnsi" w:hAnsiTheme="minorHAnsi"/>
          <w:b/>
        </w:rPr>
      </w:pPr>
      <w:r w:rsidRPr="008B7D25">
        <w:rPr>
          <w:rFonts w:asciiTheme="minorHAnsi" w:hAnsiTheme="minorHAnsi"/>
          <w:b/>
        </w:rPr>
        <w:t xml:space="preserve">CONVÊNIO ICMS 122, DE 11 DE NOVEMBRO DE 2016 </w:t>
      </w:r>
      <w:r w:rsidR="00EC24BB" w:rsidRPr="008B7D25">
        <w:rPr>
          <w:rFonts w:asciiTheme="minorHAnsi" w:hAnsiTheme="minorHAnsi"/>
          <w:b/>
        </w:rPr>
        <w:t>(DOU 14/11/2016)</w:t>
      </w:r>
    </w:p>
    <w:p w:rsidR="008B7D25" w:rsidRDefault="0031729D" w:rsidP="006234D0">
      <w:pPr>
        <w:pStyle w:val="NormalWeb"/>
        <w:jc w:val="both"/>
        <w:rPr>
          <w:rFonts w:asciiTheme="minorHAnsi" w:hAnsiTheme="minorHAnsi"/>
        </w:rPr>
      </w:pPr>
      <w:r w:rsidRPr="006234D0">
        <w:rPr>
          <w:rFonts w:asciiTheme="minorHAnsi" w:hAnsiTheme="minorHAnsi"/>
        </w:rPr>
        <w:t xml:space="preserve">Altera o Convênio ICMS 03/15, que autoriza o Estado do Maranhão e o Distrito Federal a dispensarem ou reduzirem multas, juros e demais acréscimos legais, e conceder parcelamento de débitos fiscais, relacionados com o ICMS. O Conselho Nacional de Política Fazendária - CONFAZ, na sua 270ª Reunião Extraordinária, realizada em Brasília, DF, no dia 11 de novembro de 2016, tendo em vista o disposto na Lei Complementar nº 24, de 7 de janeiro de 1975, resolve celebrar o seguinte CONVÊNIO </w:t>
      </w:r>
    </w:p>
    <w:p w:rsidR="008B7D25" w:rsidRDefault="0031729D" w:rsidP="006234D0">
      <w:pPr>
        <w:pStyle w:val="NormalWeb"/>
        <w:jc w:val="both"/>
        <w:rPr>
          <w:rFonts w:asciiTheme="minorHAnsi" w:hAnsiTheme="minorHAnsi"/>
        </w:rPr>
      </w:pPr>
      <w:r w:rsidRPr="006234D0">
        <w:rPr>
          <w:rFonts w:asciiTheme="minorHAnsi" w:hAnsiTheme="minorHAnsi"/>
        </w:rPr>
        <w:t xml:space="preserve">Cláusula </w:t>
      </w:r>
      <w:proofErr w:type="gramStart"/>
      <w:r w:rsidRPr="006234D0">
        <w:rPr>
          <w:rFonts w:asciiTheme="minorHAnsi" w:hAnsiTheme="minorHAnsi"/>
        </w:rPr>
        <w:t>primeira Ficam</w:t>
      </w:r>
      <w:proofErr w:type="gramEnd"/>
      <w:r w:rsidRPr="006234D0">
        <w:rPr>
          <w:rFonts w:asciiTheme="minorHAnsi" w:hAnsiTheme="minorHAnsi"/>
        </w:rPr>
        <w:t xml:space="preserve"> acrescidos o inciso XI e o §3º ao caput da cláusula quarta</w:t>
      </w:r>
      <w:bookmarkStart w:id="0" w:name="_GoBack"/>
      <w:bookmarkEnd w:id="0"/>
      <w:r w:rsidRPr="006234D0">
        <w:rPr>
          <w:rFonts w:asciiTheme="minorHAnsi" w:hAnsiTheme="minorHAnsi"/>
        </w:rPr>
        <w:t xml:space="preserve"> do Convênio ICMS 03/15, de 3 de fevereiro de 2015, com a seguinte redação: </w:t>
      </w:r>
    </w:p>
    <w:p w:rsidR="008B7D25" w:rsidRDefault="0031729D" w:rsidP="006234D0">
      <w:pPr>
        <w:pStyle w:val="NormalWeb"/>
        <w:jc w:val="both"/>
        <w:rPr>
          <w:rFonts w:asciiTheme="minorHAnsi" w:hAnsiTheme="minorHAnsi"/>
        </w:rPr>
      </w:pPr>
      <w:r w:rsidRPr="006234D0">
        <w:rPr>
          <w:rFonts w:asciiTheme="minorHAnsi" w:hAnsiTheme="minorHAnsi"/>
        </w:rPr>
        <w:t>"XI - 45% (quarenta e cinco por cento) para multa e juros, no pagamento de 121 (cento e vinte e uma) parcelas a 180 (cento e oitenta) parcelas."; "</w:t>
      </w:r>
    </w:p>
    <w:p w:rsidR="008B7D25" w:rsidRDefault="0031729D" w:rsidP="006234D0">
      <w:pPr>
        <w:pStyle w:val="NormalWeb"/>
        <w:jc w:val="both"/>
        <w:rPr>
          <w:rFonts w:asciiTheme="minorHAnsi" w:hAnsiTheme="minorHAnsi"/>
        </w:rPr>
      </w:pPr>
      <w:r w:rsidRPr="006234D0">
        <w:rPr>
          <w:rFonts w:asciiTheme="minorHAnsi" w:hAnsiTheme="minorHAnsi"/>
        </w:rPr>
        <w:t xml:space="preserve">§ 3º O benefício fiscal previsto no inciso XI do caput somente será concedido ao contribuinte cujos créditos tributários sejam superiores a R$ 50.000.000,00 (cinquenta milhões de reais) e condicionado ao pagamento da primeira parcela no valor de 10% (dez por cento) do valor total do parcelamento.". </w:t>
      </w:r>
    </w:p>
    <w:p w:rsidR="008B7D25" w:rsidRDefault="0031729D" w:rsidP="006234D0">
      <w:pPr>
        <w:pStyle w:val="NormalWeb"/>
        <w:jc w:val="both"/>
        <w:rPr>
          <w:rFonts w:asciiTheme="minorHAnsi" w:hAnsiTheme="minorHAnsi"/>
        </w:rPr>
      </w:pPr>
      <w:r w:rsidRPr="006234D0">
        <w:rPr>
          <w:rFonts w:asciiTheme="minorHAnsi" w:hAnsiTheme="minorHAnsi"/>
        </w:rPr>
        <w:t xml:space="preserve">Cláusula segunda Este convênio entra em vigor na data da publicação de sua ratificação nacional. Presidente do CONFAZ, em exercício - Eduardo </w:t>
      </w:r>
      <w:proofErr w:type="spellStart"/>
      <w:r w:rsidRPr="006234D0">
        <w:rPr>
          <w:rFonts w:asciiTheme="minorHAnsi" w:hAnsiTheme="minorHAnsi"/>
        </w:rPr>
        <w:t>Refinetti</w:t>
      </w:r>
      <w:proofErr w:type="spellEnd"/>
      <w:r w:rsidRPr="006234D0">
        <w:rPr>
          <w:rFonts w:asciiTheme="minorHAnsi" w:hAnsiTheme="minorHAnsi"/>
        </w:rPr>
        <w:t xml:space="preserve"> </w:t>
      </w:r>
      <w:proofErr w:type="spellStart"/>
      <w:r w:rsidRPr="006234D0">
        <w:rPr>
          <w:rFonts w:asciiTheme="minorHAnsi" w:hAnsiTheme="minorHAnsi"/>
        </w:rPr>
        <w:t>Guardia</w:t>
      </w:r>
      <w:proofErr w:type="spellEnd"/>
    </w:p>
    <w:p w:rsidR="008B7D25" w:rsidRDefault="008B7D25" w:rsidP="006234D0">
      <w:pPr>
        <w:pStyle w:val="NormalWeb"/>
        <w:jc w:val="both"/>
        <w:rPr>
          <w:rFonts w:asciiTheme="minorHAnsi" w:hAnsiTheme="minorHAnsi"/>
        </w:rPr>
      </w:pPr>
    </w:p>
    <w:p w:rsidR="008B7D25" w:rsidRPr="008B7D25" w:rsidRDefault="0031729D" w:rsidP="008B7D25">
      <w:pPr>
        <w:pStyle w:val="NormalWeb"/>
        <w:jc w:val="center"/>
        <w:rPr>
          <w:rFonts w:asciiTheme="minorHAnsi" w:hAnsiTheme="minorHAnsi"/>
          <w:b/>
        </w:rPr>
      </w:pPr>
      <w:r w:rsidRPr="008B7D25">
        <w:rPr>
          <w:rFonts w:asciiTheme="minorHAnsi" w:hAnsiTheme="minorHAnsi"/>
          <w:b/>
        </w:rPr>
        <w:t xml:space="preserve">CONVÊNIO ICMS 123, DE 11 DE NOVEMBRO DE 2016 </w:t>
      </w:r>
      <w:r w:rsidR="008B7D25" w:rsidRPr="008B7D25">
        <w:rPr>
          <w:rFonts w:asciiTheme="minorHAnsi" w:hAnsiTheme="minorHAnsi"/>
          <w:b/>
        </w:rPr>
        <w:t>(DOU 14/11/2016)</w:t>
      </w:r>
    </w:p>
    <w:p w:rsidR="008B7D25" w:rsidRDefault="0031729D" w:rsidP="006234D0">
      <w:pPr>
        <w:pStyle w:val="NormalWeb"/>
        <w:jc w:val="both"/>
        <w:rPr>
          <w:rFonts w:asciiTheme="minorHAnsi" w:hAnsiTheme="minorHAnsi"/>
        </w:rPr>
      </w:pPr>
      <w:r w:rsidRPr="006234D0">
        <w:rPr>
          <w:rFonts w:asciiTheme="minorHAnsi" w:hAnsiTheme="minorHAnsi"/>
        </w:rPr>
        <w:t xml:space="preserve">Autoriza o Estado de Alagoas a dispensar e/ou reduzir multas e demais acréscimos legais relacionados com ICM e o ICMS, na forma que especifica. O Conselho Nacional de Política Fazendária - CONFAZ, na sua 270ª Reunião Extraordinária, realizada em Brasília, DF, no dia 11 de novembro de 2016, tendo em vista o disposto na Lei Complementar nº 24, de 7 de janeiro de 1975, resolve celebrar o seguinte CONVÊNIO </w:t>
      </w:r>
    </w:p>
    <w:p w:rsidR="008B7D25" w:rsidRDefault="0031729D" w:rsidP="006234D0">
      <w:pPr>
        <w:pStyle w:val="NormalWeb"/>
        <w:jc w:val="both"/>
        <w:rPr>
          <w:rFonts w:asciiTheme="minorHAnsi" w:hAnsiTheme="minorHAnsi"/>
        </w:rPr>
      </w:pPr>
      <w:r w:rsidRPr="006234D0">
        <w:rPr>
          <w:rFonts w:asciiTheme="minorHAnsi" w:hAnsiTheme="minorHAnsi"/>
        </w:rPr>
        <w:t>Cláusula primeira Fica o Estado de Alagoas autorizado a instituir programa de incentivo ao adimplemento de débitos fiscais referentes ao ICM e ou ICMS, dispensando e ou reduzindo suas multas e demais acréscimos legais, vencidos até 31 de julho de 2016, constituídos ou não, inscritos ou não em dívida ativa, inclusive ajuizados, observadas as condições e limites estabelecidos neste convênio.</w:t>
      </w:r>
    </w:p>
    <w:p w:rsidR="008B7D25" w:rsidRDefault="0031729D" w:rsidP="006234D0">
      <w:pPr>
        <w:pStyle w:val="NormalWeb"/>
        <w:jc w:val="both"/>
        <w:rPr>
          <w:rFonts w:asciiTheme="minorHAnsi" w:hAnsiTheme="minorHAnsi"/>
        </w:rPr>
      </w:pPr>
      <w:r w:rsidRPr="006234D0">
        <w:rPr>
          <w:rFonts w:asciiTheme="minorHAnsi" w:hAnsiTheme="minorHAnsi"/>
        </w:rPr>
        <w:t xml:space="preserve">§1º O débito será consolidado na data do pedido de ingresso no programa, com todos os acréscimos legais. </w:t>
      </w:r>
    </w:p>
    <w:p w:rsidR="008B7D25" w:rsidRDefault="0031729D" w:rsidP="006234D0">
      <w:pPr>
        <w:pStyle w:val="NormalWeb"/>
        <w:jc w:val="both"/>
        <w:rPr>
          <w:rFonts w:asciiTheme="minorHAnsi" w:hAnsiTheme="minorHAnsi"/>
        </w:rPr>
      </w:pPr>
      <w:r w:rsidRPr="006234D0">
        <w:rPr>
          <w:rFonts w:asciiTheme="minorHAnsi" w:hAnsiTheme="minorHAnsi"/>
        </w:rPr>
        <w:lastRenderedPageBreak/>
        <w:t xml:space="preserve">§2º Poderão ser incluídos na consolidação os valores espontaneamente denunciados ou informados pelo contribuinte à repartição fazendária, decorrentes de infrações relacionadas a fatos geradores do ICM e do ICMS, ocorridos até 31 de julho de 2016. </w:t>
      </w:r>
    </w:p>
    <w:p w:rsidR="008B7D25" w:rsidRDefault="0031729D" w:rsidP="006234D0">
      <w:pPr>
        <w:pStyle w:val="NormalWeb"/>
        <w:jc w:val="both"/>
        <w:rPr>
          <w:rFonts w:asciiTheme="minorHAnsi" w:hAnsiTheme="minorHAnsi"/>
        </w:rPr>
      </w:pPr>
      <w:r w:rsidRPr="006234D0">
        <w:rPr>
          <w:rFonts w:asciiTheme="minorHAnsi" w:hAnsiTheme="minorHAnsi"/>
        </w:rPr>
        <w:t xml:space="preserve">§3º O disposto nesta cláusula aplica-se, inclusive, às multas decorrentes do descumprimento de obrigações acessórias. </w:t>
      </w:r>
    </w:p>
    <w:p w:rsidR="008B7D25" w:rsidRDefault="0031729D" w:rsidP="006234D0">
      <w:pPr>
        <w:pStyle w:val="NormalWeb"/>
        <w:jc w:val="both"/>
        <w:rPr>
          <w:rFonts w:asciiTheme="minorHAnsi" w:hAnsiTheme="minorHAnsi"/>
        </w:rPr>
      </w:pPr>
      <w:r w:rsidRPr="006234D0">
        <w:rPr>
          <w:rFonts w:asciiTheme="minorHAnsi" w:hAnsiTheme="minorHAnsi"/>
        </w:rPr>
        <w:t xml:space="preserve">Cláusula </w:t>
      </w:r>
      <w:proofErr w:type="gramStart"/>
      <w:r w:rsidRPr="006234D0">
        <w:rPr>
          <w:rFonts w:asciiTheme="minorHAnsi" w:hAnsiTheme="minorHAnsi"/>
        </w:rPr>
        <w:t>segunda Ressalvados</w:t>
      </w:r>
      <w:proofErr w:type="gramEnd"/>
      <w:r w:rsidRPr="006234D0">
        <w:rPr>
          <w:rFonts w:asciiTheme="minorHAnsi" w:hAnsiTheme="minorHAnsi"/>
        </w:rPr>
        <w:t xml:space="preserve"> os créditos tributários que já tenham sido objeto de anistia, os débitos dos parcelamentos atualmente em curso também poderão participar dos benefícios previstos na cláusula primeira deste convênio, no que tange ao saldo devedor remanescente. </w:t>
      </w:r>
    </w:p>
    <w:p w:rsidR="008B7D25" w:rsidRDefault="0031729D" w:rsidP="006234D0">
      <w:pPr>
        <w:pStyle w:val="NormalWeb"/>
        <w:jc w:val="both"/>
        <w:rPr>
          <w:rFonts w:asciiTheme="minorHAnsi" w:hAnsiTheme="minorHAnsi"/>
        </w:rPr>
      </w:pPr>
      <w:r w:rsidRPr="006234D0">
        <w:rPr>
          <w:rFonts w:asciiTheme="minorHAnsi" w:hAnsiTheme="minorHAnsi"/>
        </w:rPr>
        <w:t xml:space="preserve">Cláusula terceira O débito consolidado poderá ser pago em parcela única, com redução de até 95%(noventa e cinco por cento) das multas punitivas e de até 80% (oitenta por cento) do valor dos juros. </w:t>
      </w:r>
    </w:p>
    <w:p w:rsidR="008B7D25" w:rsidRDefault="0031729D" w:rsidP="006234D0">
      <w:pPr>
        <w:pStyle w:val="NormalWeb"/>
        <w:jc w:val="both"/>
        <w:rPr>
          <w:rFonts w:asciiTheme="minorHAnsi" w:hAnsiTheme="minorHAnsi"/>
        </w:rPr>
      </w:pPr>
      <w:r w:rsidRPr="006234D0">
        <w:rPr>
          <w:rFonts w:asciiTheme="minorHAnsi" w:hAnsiTheme="minorHAnsi"/>
        </w:rPr>
        <w:t xml:space="preserve">Cláusula quarta A formalização de pedido de ingresso no programa implica o reconhecimento dos débitos tributários nele incluídos, ficando condicionada à desistência de eventuais ações ou embargos à execução fiscal, com renúncia ao direito sobre o qual se fundam nos autos judiciais respectivos e da desistência de eventuais impugnações, defesas e recursos apresentados no âmbito administrativo. </w:t>
      </w:r>
    </w:p>
    <w:p w:rsidR="008B7D25" w:rsidRDefault="0031729D" w:rsidP="006234D0">
      <w:pPr>
        <w:pStyle w:val="NormalWeb"/>
        <w:jc w:val="both"/>
        <w:rPr>
          <w:rFonts w:asciiTheme="minorHAnsi" w:hAnsiTheme="minorHAnsi"/>
        </w:rPr>
      </w:pPr>
      <w:r w:rsidRPr="006234D0">
        <w:rPr>
          <w:rFonts w:asciiTheme="minorHAnsi" w:hAnsiTheme="minorHAnsi"/>
        </w:rPr>
        <w:t xml:space="preserve">§1º A legislação do Estado fixará o prazo máximo de opção do contribuinte. </w:t>
      </w:r>
    </w:p>
    <w:p w:rsidR="008B7D25" w:rsidRDefault="0031729D" w:rsidP="006234D0">
      <w:pPr>
        <w:pStyle w:val="NormalWeb"/>
        <w:jc w:val="both"/>
        <w:rPr>
          <w:rFonts w:asciiTheme="minorHAnsi" w:hAnsiTheme="minorHAnsi"/>
        </w:rPr>
      </w:pPr>
      <w:r w:rsidRPr="006234D0">
        <w:rPr>
          <w:rFonts w:asciiTheme="minorHAnsi" w:hAnsiTheme="minorHAnsi"/>
        </w:rPr>
        <w:t xml:space="preserve">Cláusula quinta A legislação estadual disporá ainda sobre: I - a redução do valor dos honorários advocatícios; II - os percentuais de redução de juros e multas, observados os limites estabelecidos neste convênio; III - disciplina específica para os débitos inscritos em Dívida Ativa, diversa do regime aplicável aos débitos não inscritos; IV - as condições de extinção do crédito tributário oriundos do presente convênio; V - o ingresso ao programa; VI - restrição de acesso ao programa objeto do presente convênio. </w:t>
      </w:r>
    </w:p>
    <w:p w:rsidR="008B7D25" w:rsidRDefault="0031729D" w:rsidP="006234D0">
      <w:pPr>
        <w:pStyle w:val="NormalWeb"/>
        <w:jc w:val="both"/>
        <w:rPr>
          <w:rFonts w:asciiTheme="minorHAnsi" w:hAnsiTheme="minorHAnsi"/>
        </w:rPr>
      </w:pPr>
      <w:r w:rsidRPr="006234D0">
        <w:rPr>
          <w:rFonts w:asciiTheme="minorHAnsi" w:hAnsiTheme="minorHAnsi"/>
        </w:rPr>
        <w:t xml:space="preserve">Cláusula </w:t>
      </w:r>
      <w:proofErr w:type="gramStart"/>
      <w:r w:rsidRPr="006234D0">
        <w:rPr>
          <w:rFonts w:asciiTheme="minorHAnsi" w:hAnsiTheme="minorHAnsi"/>
        </w:rPr>
        <w:t>sexta Este</w:t>
      </w:r>
      <w:proofErr w:type="gramEnd"/>
      <w:r w:rsidRPr="006234D0">
        <w:rPr>
          <w:rFonts w:asciiTheme="minorHAnsi" w:hAnsiTheme="minorHAnsi"/>
        </w:rPr>
        <w:t xml:space="preserve"> convênio entra em vigor na data da publicação de sua ratificação nacional. Presidente do CONFAZ, em exercício - Eduardo </w:t>
      </w:r>
      <w:proofErr w:type="spellStart"/>
      <w:r w:rsidRPr="006234D0">
        <w:rPr>
          <w:rFonts w:asciiTheme="minorHAnsi" w:hAnsiTheme="minorHAnsi"/>
        </w:rPr>
        <w:t>Refinetti</w:t>
      </w:r>
      <w:proofErr w:type="spellEnd"/>
      <w:r w:rsidRPr="006234D0">
        <w:rPr>
          <w:rFonts w:asciiTheme="minorHAnsi" w:hAnsiTheme="minorHAnsi"/>
        </w:rPr>
        <w:t xml:space="preserve"> </w:t>
      </w:r>
      <w:proofErr w:type="spellStart"/>
      <w:r w:rsidRPr="006234D0">
        <w:rPr>
          <w:rFonts w:asciiTheme="minorHAnsi" w:hAnsiTheme="minorHAnsi"/>
        </w:rPr>
        <w:t>Guardia</w:t>
      </w:r>
      <w:proofErr w:type="spellEnd"/>
    </w:p>
    <w:p w:rsidR="008B7D25" w:rsidRDefault="008B7D25" w:rsidP="006234D0">
      <w:pPr>
        <w:pStyle w:val="NormalWeb"/>
        <w:jc w:val="both"/>
        <w:rPr>
          <w:rFonts w:asciiTheme="minorHAnsi" w:hAnsiTheme="minorHAnsi"/>
        </w:rPr>
      </w:pPr>
    </w:p>
    <w:p w:rsidR="008B7D25" w:rsidRPr="008B7D25" w:rsidRDefault="0031729D" w:rsidP="008B7D25">
      <w:pPr>
        <w:pStyle w:val="NormalWeb"/>
        <w:jc w:val="center"/>
        <w:rPr>
          <w:rFonts w:asciiTheme="minorHAnsi" w:hAnsiTheme="minorHAnsi"/>
          <w:b/>
        </w:rPr>
      </w:pPr>
      <w:r w:rsidRPr="008B7D25">
        <w:rPr>
          <w:rFonts w:asciiTheme="minorHAnsi" w:hAnsiTheme="minorHAnsi"/>
          <w:b/>
        </w:rPr>
        <w:t xml:space="preserve">CONVÊNIO ICMS 124, DE 11 DE NOVEMBRO DE 2016 </w:t>
      </w:r>
      <w:r w:rsidR="008B7D25" w:rsidRPr="008B7D25">
        <w:rPr>
          <w:rFonts w:asciiTheme="minorHAnsi" w:hAnsiTheme="minorHAnsi"/>
          <w:b/>
        </w:rPr>
        <w:t>(DOU 14/11/2016)</w:t>
      </w:r>
    </w:p>
    <w:p w:rsidR="008B7D25" w:rsidRDefault="0031729D" w:rsidP="006234D0">
      <w:pPr>
        <w:pStyle w:val="NormalWeb"/>
        <w:jc w:val="both"/>
        <w:rPr>
          <w:rFonts w:asciiTheme="minorHAnsi" w:hAnsiTheme="minorHAnsi"/>
        </w:rPr>
      </w:pPr>
      <w:r w:rsidRPr="006234D0">
        <w:rPr>
          <w:rFonts w:asciiTheme="minorHAnsi" w:hAnsiTheme="minorHAnsi"/>
        </w:rPr>
        <w:t xml:space="preserve">Autoriza o Estado da Paraíba a dispensar ou reduzir juros, multas e demais acréscimos legais previstos na legislação tributária relacionados com o ICM e com o ICMS. O Conselho Nacional de Política Fazendária - CONFAZ, na sua 270ª Reunião Extraordinária, realizada em Brasília, DF, no dia 11 de novembro de 2016, tendo em vista o disposto na Lei Complementar nº 24, de 7 de janeiro de 1975, resolve celebrar o seguinte CONVÊNIO </w:t>
      </w:r>
    </w:p>
    <w:p w:rsidR="008B7D25" w:rsidRDefault="0031729D" w:rsidP="006234D0">
      <w:pPr>
        <w:pStyle w:val="NormalWeb"/>
        <w:jc w:val="both"/>
        <w:rPr>
          <w:rFonts w:asciiTheme="minorHAnsi" w:hAnsiTheme="minorHAnsi"/>
        </w:rPr>
      </w:pPr>
      <w:r w:rsidRPr="006234D0">
        <w:rPr>
          <w:rFonts w:asciiTheme="minorHAnsi" w:hAnsiTheme="minorHAnsi"/>
        </w:rPr>
        <w:t xml:space="preserve">Cláusula primeira Fica o Estado da Paraíba autorizado a instituir Programa Especial de Pagamento de créditos tributários - PEP destinado a dispensar ou reduzir multas, juros e demais acréscimos legais relacionados com o ICM e o ICMS, cujos fatos geradores </w:t>
      </w:r>
      <w:r w:rsidRPr="006234D0">
        <w:rPr>
          <w:rFonts w:asciiTheme="minorHAnsi" w:hAnsiTheme="minorHAnsi"/>
        </w:rPr>
        <w:lastRenderedPageBreak/>
        <w:t xml:space="preserve">tenham ocorrido até 30 de junho de 2016, observado o disposto neste convênio e nas demais normas previstas na legislação tributária estadual. </w:t>
      </w:r>
    </w:p>
    <w:p w:rsidR="008B7D25" w:rsidRDefault="0031729D" w:rsidP="006234D0">
      <w:pPr>
        <w:pStyle w:val="NormalWeb"/>
        <w:jc w:val="both"/>
        <w:rPr>
          <w:rFonts w:asciiTheme="minorHAnsi" w:hAnsiTheme="minorHAnsi"/>
        </w:rPr>
      </w:pPr>
      <w:r w:rsidRPr="006234D0">
        <w:rPr>
          <w:rFonts w:asciiTheme="minorHAnsi" w:hAnsiTheme="minorHAnsi"/>
        </w:rPr>
        <w:t xml:space="preserve">§ 1º O crédito tributário será consolidado na data do pagamento à vista ou da 1ª (primeira) parcela, compreendendo o valor do tributo com todos os acréscimos legais previstos na legislação tributária vigente no Estado da Paraíba, na data dos respectivos fatos geradores da obrigação tributária. </w:t>
      </w:r>
    </w:p>
    <w:p w:rsidR="008B7D25" w:rsidRDefault="0031729D" w:rsidP="006234D0">
      <w:pPr>
        <w:pStyle w:val="NormalWeb"/>
        <w:jc w:val="both"/>
        <w:rPr>
          <w:rFonts w:asciiTheme="minorHAnsi" w:hAnsiTheme="minorHAnsi"/>
        </w:rPr>
      </w:pPr>
      <w:r w:rsidRPr="006234D0">
        <w:rPr>
          <w:rFonts w:asciiTheme="minorHAnsi" w:hAnsiTheme="minorHAnsi"/>
        </w:rPr>
        <w:t xml:space="preserve">§ 2º Poderão ser incluídos no programa os valores espontaneamente denunciados pelo sujeito passivo à repartição fazendária, relacionados aos fatos geradores do ICMS ocorridos até a data prevista no "caput" desta cláusula, observado o disposto no § 3º. </w:t>
      </w:r>
    </w:p>
    <w:p w:rsidR="008B7D25" w:rsidRDefault="0031729D" w:rsidP="006234D0">
      <w:pPr>
        <w:pStyle w:val="NormalWeb"/>
        <w:jc w:val="both"/>
        <w:rPr>
          <w:rFonts w:asciiTheme="minorHAnsi" w:hAnsiTheme="minorHAnsi"/>
        </w:rPr>
      </w:pPr>
      <w:r w:rsidRPr="006234D0">
        <w:rPr>
          <w:rFonts w:asciiTheme="minorHAnsi" w:hAnsiTheme="minorHAnsi"/>
        </w:rPr>
        <w:t xml:space="preserve">§ 3º Para efeito do disposto no § 2º, poderão ser pagas as dívidas relacionadas a fatos geradores ocorridos até 30 de junho de 2016, de pessoas físicas ou jurídicas, consolidadas por sujeito passivo, constituídas ou não, com exigibilidade suspensa ou não, inscritas ou não em dívida ativa, mesmo em faze de execução fiscal já ajuizada, ou que tenham sido objeto de parcelamento anterior, não integralmente quitado, ainda que cancelado por falta de pagamento. </w:t>
      </w:r>
    </w:p>
    <w:p w:rsidR="008B7D25" w:rsidRDefault="0031729D" w:rsidP="006234D0">
      <w:pPr>
        <w:pStyle w:val="NormalWeb"/>
        <w:jc w:val="both"/>
        <w:rPr>
          <w:rFonts w:asciiTheme="minorHAnsi" w:hAnsiTheme="minorHAnsi"/>
        </w:rPr>
      </w:pPr>
      <w:r w:rsidRPr="006234D0">
        <w:rPr>
          <w:rFonts w:asciiTheme="minorHAnsi" w:hAnsiTheme="minorHAnsi"/>
        </w:rPr>
        <w:t xml:space="preserve">§ 4º As disposições deste convênio também se aplicam a créditos tributários já parcelados, inclusive, aos parcelamentos em curso. </w:t>
      </w:r>
    </w:p>
    <w:p w:rsidR="008B7D25" w:rsidRDefault="0031729D" w:rsidP="006234D0">
      <w:pPr>
        <w:pStyle w:val="NormalWeb"/>
        <w:jc w:val="both"/>
        <w:rPr>
          <w:rFonts w:asciiTheme="minorHAnsi" w:hAnsiTheme="minorHAnsi"/>
        </w:rPr>
      </w:pPr>
      <w:r w:rsidRPr="006234D0">
        <w:rPr>
          <w:rFonts w:asciiTheme="minorHAnsi" w:hAnsiTheme="minorHAnsi"/>
        </w:rPr>
        <w:t xml:space="preserve">Cláusula segunda O sujeito passivo, para usufruir os benefícios do programa, deve fazer a adesão ao mesmo, no período de 15 de dezembro de 2016 a 31 de janeiro de 2017, cuja formalização será feita com o pagamento à vista ou da 1ª (primeira) parcela. </w:t>
      </w:r>
    </w:p>
    <w:p w:rsidR="008B7D25" w:rsidRDefault="0031729D" w:rsidP="006234D0">
      <w:pPr>
        <w:pStyle w:val="NormalWeb"/>
        <w:jc w:val="both"/>
        <w:rPr>
          <w:rFonts w:asciiTheme="minorHAnsi" w:hAnsiTheme="minorHAnsi"/>
        </w:rPr>
      </w:pPr>
      <w:r w:rsidRPr="006234D0">
        <w:rPr>
          <w:rFonts w:asciiTheme="minorHAnsi" w:hAnsiTheme="minorHAnsi"/>
        </w:rPr>
        <w:t xml:space="preserve">Parágrafo único. A formalização da adesão ao programa implica o reconhecimento dos débitos tributários nele incluídos, ficando condicionada à desistência de eventuais ações ou embargos à execução fiscal, com renúncia ao direito sobre o qual se fundam, e da desistência de eventuais impugnações, defesas e recursos apresentados no âmbito administrativo. </w:t>
      </w:r>
    </w:p>
    <w:p w:rsidR="008B7D25" w:rsidRDefault="0031729D" w:rsidP="006234D0">
      <w:pPr>
        <w:pStyle w:val="NormalWeb"/>
        <w:jc w:val="both"/>
        <w:rPr>
          <w:rFonts w:asciiTheme="minorHAnsi" w:hAnsiTheme="minorHAnsi"/>
        </w:rPr>
      </w:pPr>
      <w:r w:rsidRPr="006234D0">
        <w:rPr>
          <w:rFonts w:asciiTheme="minorHAnsi" w:hAnsiTheme="minorHAnsi"/>
        </w:rPr>
        <w:t xml:space="preserve">Cláusula </w:t>
      </w:r>
      <w:proofErr w:type="gramStart"/>
      <w:r w:rsidRPr="006234D0">
        <w:rPr>
          <w:rFonts w:asciiTheme="minorHAnsi" w:hAnsiTheme="minorHAnsi"/>
        </w:rPr>
        <w:t>terceira Os</w:t>
      </w:r>
      <w:proofErr w:type="gramEnd"/>
      <w:r w:rsidRPr="006234D0">
        <w:rPr>
          <w:rFonts w:asciiTheme="minorHAnsi" w:hAnsiTheme="minorHAnsi"/>
        </w:rPr>
        <w:t xml:space="preserve"> créditos tributários consolidados terão redução de 100% (cem por cento), das multas de mora e de ofício e de 50% (cinquenta por cento) dos juros de mora, para pagamento à vista até o último dia de adesão ao programa. </w:t>
      </w:r>
    </w:p>
    <w:p w:rsidR="008B7D25" w:rsidRDefault="0031729D" w:rsidP="006234D0">
      <w:pPr>
        <w:pStyle w:val="NormalWeb"/>
        <w:jc w:val="both"/>
        <w:rPr>
          <w:rFonts w:asciiTheme="minorHAnsi" w:hAnsiTheme="minorHAnsi"/>
        </w:rPr>
      </w:pPr>
      <w:r w:rsidRPr="006234D0">
        <w:rPr>
          <w:rFonts w:asciiTheme="minorHAnsi" w:hAnsiTheme="minorHAnsi"/>
        </w:rPr>
        <w:t xml:space="preserve">§ 1º Os créditos tributários decorrentes, exclusivamente, de penalidade pecuniária, por descumprimento de obrigações acessórias, terão redução de 70% (setenta por cento) do seu valor. </w:t>
      </w:r>
    </w:p>
    <w:p w:rsidR="008B7D25" w:rsidRDefault="0031729D" w:rsidP="006234D0">
      <w:pPr>
        <w:pStyle w:val="NormalWeb"/>
        <w:jc w:val="both"/>
        <w:rPr>
          <w:rFonts w:asciiTheme="minorHAnsi" w:hAnsiTheme="minorHAnsi"/>
        </w:rPr>
      </w:pPr>
      <w:r w:rsidRPr="006234D0">
        <w:rPr>
          <w:rFonts w:asciiTheme="minorHAnsi" w:hAnsiTheme="minorHAnsi"/>
        </w:rPr>
        <w:t xml:space="preserve">§ 2º Os créditos tributários consolidados superiores a R$ 30.000,00 (trinta mil reais) poderão ser divididos em até 6 (seis) parcelas mensais, iguais e sucessivas, com as mesmas reduções previstas no caput e no § 1º desta cláusula. </w:t>
      </w:r>
    </w:p>
    <w:p w:rsidR="008B7D25" w:rsidRDefault="0031729D" w:rsidP="006234D0">
      <w:pPr>
        <w:pStyle w:val="NormalWeb"/>
        <w:jc w:val="both"/>
        <w:rPr>
          <w:rFonts w:asciiTheme="minorHAnsi" w:hAnsiTheme="minorHAnsi"/>
        </w:rPr>
      </w:pPr>
      <w:r w:rsidRPr="006234D0">
        <w:rPr>
          <w:rFonts w:asciiTheme="minorHAnsi" w:hAnsiTheme="minorHAnsi"/>
        </w:rPr>
        <w:t xml:space="preserve">§ 3º O contribuinte que optar por parcelar o valor devido deverá recolher a primeira parcela até o dia 31 de janeiro de 2017, ficando as demais a serem pagas até o último dia útil de cada mês, acrescidas de juros de mora equivalentes à taxa referencial do Sistema Especial de Liquidação e de Custódia - SELIC acumulada mensalmente, </w:t>
      </w:r>
      <w:r w:rsidRPr="006234D0">
        <w:rPr>
          <w:rFonts w:asciiTheme="minorHAnsi" w:hAnsiTheme="minorHAnsi"/>
        </w:rPr>
        <w:lastRenderedPageBreak/>
        <w:t xml:space="preserve">calculados a partir do primeiro dia do mês subsequente ao dá adesão até o mês anterior ao do pagamento, acrescidos de 1% (um por cento) no mês do pagamento. </w:t>
      </w:r>
    </w:p>
    <w:p w:rsidR="008B7D25" w:rsidRDefault="0031729D" w:rsidP="006234D0">
      <w:pPr>
        <w:pStyle w:val="NormalWeb"/>
        <w:jc w:val="both"/>
        <w:rPr>
          <w:rFonts w:asciiTheme="minorHAnsi" w:hAnsiTheme="minorHAnsi"/>
        </w:rPr>
      </w:pPr>
      <w:r w:rsidRPr="006234D0">
        <w:rPr>
          <w:rFonts w:asciiTheme="minorHAnsi" w:hAnsiTheme="minorHAnsi"/>
        </w:rPr>
        <w:t xml:space="preserve">§ 4º O parcelamento será automaticamente extinto, se, após a assinatura do acordo e durante a sua vigência, ocorrer ausência do pagamento, por mais de 90 (noventa) dias, a contar da data do vencimento de qualquer parcela, situação em que, o sujeito passivo perde, a partir da extinção, o direito aos benefícios autorizados neste convênio, relativamente ao saldo devedor remanescente. </w:t>
      </w:r>
    </w:p>
    <w:p w:rsidR="008B7D25" w:rsidRDefault="0031729D" w:rsidP="006234D0">
      <w:pPr>
        <w:pStyle w:val="NormalWeb"/>
        <w:jc w:val="both"/>
        <w:rPr>
          <w:rFonts w:asciiTheme="minorHAnsi" w:hAnsiTheme="minorHAnsi"/>
        </w:rPr>
      </w:pPr>
      <w:r w:rsidRPr="006234D0">
        <w:rPr>
          <w:rFonts w:asciiTheme="minorHAnsi" w:hAnsiTheme="minorHAnsi"/>
        </w:rPr>
        <w:t xml:space="preserve">Cláusula quarta O benefício previsto neste convênio não confere ao sujeito passivo beneficiado qualquer direito à restituição ou compensação das importâncias já pagas. </w:t>
      </w:r>
    </w:p>
    <w:p w:rsidR="008B7D25" w:rsidRDefault="0031729D" w:rsidP="006234D0">
      <w:pPr>
        <w:pStyle w:val="NormalWeb"/>
        <w:jc w:val="both"/>
        <w:rPr>
          <w:rFonts w:asciiTheme="minorHAnsi" w:hAnsiTheme="minorHAnsi"/>
        </w:rPr>
      </w:pPr>
      <w:r w:rsidRPr="006234D0">
        <w:rPr>
          <w:rFonts w:asciiTheme="minorHAnsi" w:hAnsiTheme="minorHAnsi"/>
        </w:rPr>
        <w:t xml:space="preserve">Cláusula </w:t>
      </w:r>
      <w:proofErr w:type="gramStart"/>
      <w:r w:rsidRPr="006234D0">
        <w:rPr>
          <w:rFonts w:asciiTheme="minorHAnsi" w:hAnsiTheme="minorHAnsi"/>
        </w:rPr>
        <w:t>quinta Este</w:t>
      </w:r>
      <w:proofErr w:type="gramEnd"/>
      <w:r w:rsidRPr="006234D0">
        <w:rPr>
          <w:rFonts w:asciiTheme="minorHAnsi" w:hAnsiTheme="minorHAnsi"/>
        </w:rPr>
        <w:t xml:space="preserve"> convênio entra em vigor na data da publicação de sua ratificação nacional. Presidente do CONFAZ, em exercício - Eduardo </w:t>
      </w:r>
      <w:proofErr w:type="spellStart"/>
      <w:r w:rsidRPr="006234D0">
        <w:rPr>
          <w:rFonts w:asciiTheme="minorHAnsi" w:hAnsiTheme="minorHAnsi"/>
        </w:rPr>
        <w:t>Refinetti</w:t>
      </w:r>
      <w:proofErr w:type="spellEnd"/>
      <w:r w:rsidRPr="006234D0">
        <w:rPr>
          <w:rFonts w:asciiTheme="minorHAnsi" w:hAnsiTheme="minorHAnsi"/>
        </w:rPr>
        <w:t xml:space="preserve"> </w:t>
      </w:r>
      <w:proofErr w:type="spellStart"/>
      <w:r w:rsidRPr="006234D0">
        <w:rPr>
          <w:rFonts w:asciiTheme="minorHAnsi" w:hAnsiTheme="minorHAnsi"/>
        </w:rPr>
        <w:t>Guardia</w:t>
      </w:r>
      <w:proofErr w:type="spellEnd"/>
      <w:r w:rsidRPr="006234D0">
        <w:rPr>
          <w:rFonts w:asciiTheme="minorHAnsi" w:hAnsiTheme="minorHAnsi"/>
        </w:rPr>
        <w:t xml:space="preserve"> </w:t>
      </w:r>
    </w:p>
    <w:p w:rsidR="008B7D25" w:rsidRDefault="008B7D25" w:rsidP="006234D0">
      <w:pPr>
        <w:pStyle w:val="NormalWeb"/>
        <w:jc w:val="both"/>
        <w:rPr>
          <w:rFonts w:asciiTheme="minorHAnsi" w:hAnsiTheme="minorHAnsi"/>
        </w:rPr>
      </w:pPr>
    </w:p>
    <w:p w:rsidR="008B7D25" w:rsidRPr="008B7D25" w:rsidRDefault="0031729D" w:rsidP="008B7D25">
      <w:pPr>
        <w:pStyle w:val="NormalWeb"/>
        <w:jc w:val="center"/>
        <w:rPr>
          <w:rFonts w:asciiTheme="minorHAnsi" w:hAnsiTheme="minorHAnsi"/>
          <w:b/>
        </w:rPr>
      </w:pPr>
      <w:r w:rsidRPr="008B7D25">
        <w:rPr>
          <w:rFonts w:asciiTheme="minorHAnsi" w:hAnsiTheme="minorHAnsi"/>
          <w:b/>
        </w:rPr>
        <w:t xml:space="preserve">CONVÊNIO ICMS 125, DE 11 DE NOVEMBRO DE 2016 </w:t>
      </w:r>
      <w:r w:rsidR="008B7D25" w:rsidRPr="008B7D25">
        <w:rPr>
          <w:rFonts w:asciiTheme="minorHAnsi" w:hAnsiTheme="minorHAnsi"/>
          <w:b/>
        </w:rPr>
        <w:t>(DOU 14/11/2016)</w:t>
      </w:r>
    </w:p>
    <w:p w:rsidR="008B7D25" w:rsidRDefault="0031729D" w:rsidP="006234D0">
      <w:pPr>
        <w:pStyle w:val="NormalWeb"/>
        <w:jc w:val="both"/>
        <w:rPr>
          <w:rFonts w:asciiTheme="minorHAnsi" w:hAnsiTheme="minorHAnsi"/>
        </w:rPr>
      </w:pPr>
      <w:r w:rsidRPr="006234D0">
        <w:rPr>
          <w:rFonts w:asciiTheme="minorHAnsi" w:hAnsiTheme="minorHAnsi"/>
        </w:rPr>
        <w:t xml:space="preserve">Autoriza o Estado do Pará a dispensar ou reduzir multas, juros e demais acréscimos legais de créditos tributários ajuizados, relacionados com o ICM e o ICMS. O Conselho Nacional de Política Fazendária - CONFAZ, na sua 270ª Reunião Extraordinária, virtual, realizada em Brasília, DF, no dia 11 de novembro de 2016, tendo em vista o disposto na Lei Complementar nº 24, de 7 de janeiro de 1975, resolve celebrar o </w:t>
      </w:r>
      <w:proofErr w:type="spellStart"/>
      <w:proofErr w:type="gramStart"/>
      <w:r w:rsidRPr="006234D0">
        <w:rPr>
          <w:rFonts w:asciiTheme="minorHAnsi" w:hAnsiTheme="minorHAnsi"/>
        </w:rPr>
        <w:t>seguinte.CONVÊNIO</w:t>
      </w:r>
      <w:proofErr w:type="spellEnd"/>
      <w:proofErr w:type="gramEnd"/>
      <w:r w:rsidRPr="006234D0">
        <w:rPr>
          <w:rFonts w:asciiTheme="minorHAnsi" w:hAnsiTheme="minorHAnsi"/>
        </w:rPr>
        <w:t xml:space="preserve"> </w:t>
      </w:r>
    </w:p>
    <w:p w:rsidR="008B7D25" w:rsidRDefault="0031729D" w:rsidP="006234D0">
      <w:pPr>
        <w:pStyle w:val="NormalWeb"/>
        <w:jc w:val="both"/>
        <w:rPr>
          <w:rFonts w:asciiTheme="minorHAnsi" w:hAnsiTheme="minorHAnsi"/>
        </w:rPr>
      </w:pPr>
      <w:r w:rsidRPr="006234D0">
        <w:rPr>
          <w:rFonts w:asciiTheme="minorHAnsi" w:hAnsiTheme="minorHAnsi"/>
        </w:rPr>
        <w:t xml:space="preserve">Cláusula primeira Fica o Estado do Pará autorizado a instituir programa destinado a dispensar ou reduzir multas, juros e demais acréscimos legais relacionados com créditos tributários de ICM e ICMS, ajuizados até 30 de junho de 2016, observadas as condições e limites estabelecidos neste convênio. </w:t>
      </w:r>
    </w:p>
    <w:p w:rsidR="008B7D25" w:rsidRDefault="0031729D" w:rsidP="006234D0">
      <w:pPr>
        <w:pStyle w:val="NormalWeb"/>
        <w:jc w:val="both"/>
        <w:rPr>
          <w:rFonts w:asciiTheme="minorHAnsi" w:hAnsiTheme="minorHAnsi"/>
        </w:rPr>
      </w:pPr>
      <w:r w:rsidRPr="006234D0">
        <w:rPr>
          <w:rFonts w:asciiTheme="minorHAnsi" w:hAnsiTheme="minorHAnsi"/>
        </w:rPr>
        <w:t>Cláusula segunda O débito poderá ser pago com redução de multa por infração e demais acréscimos legais, nos seguintes percentuais: I - 70% (setenta por cento), na hipótese de pagamento em parcela única até 30 de novembro de 2016</w:t>
      </w:r>
      <w:r w:rsidR="008B7D25">
        <w:rPr>
          <w:rFonts w:asciiTheme="minorHAnsi" w:hAnsiTheme="minorHAnsi"/>
        </w:rPr>
        <w:t xml:space="preserve">; II - </w:t>
      </w:r>
      <w:r w:rsidRPr="006234D0">
        <w:rPr>
          <w:rFonts w:asciiTheme="minorHAnsi" w:hAnsiTheme="minorHAnsi"/>
        </w:rPr>
        <w:t xml:space="preserve">(doze) parcelas mensais, iguais e consecutivas, com o pagamento da primeira parcela até 30 de novembro de 2016, e as demais parcelas no último dia útil de cada mês, nos termos da legislação estadual; III - 30% (trinta por cento), na hipótese de pagamento em até 24 (vinte e quatro) parcelas mensais, iguais e consecutivas, com o pagamento da parcela inicial até 30 de novembro de 2016, e as demais parcelas no último dia útil de cada mês, nos termos da legislação estadual. </w:t>
      </w:r>
    </w:p>
    <w:p w:rsidR="008B7D25" w:rsidRDefault="0031729D" w:rsidP="006234D0">
      <w:pPr>
        <w:pStyle w:val="NormalWeb"/>
        <w:jc w:val="both"/>
        <w:rPr>
          <w:rFonts w:asciiTheme="minorHAnsi" w:hAnsiTheme="minorHAnsi"/>
        </w:rPr>
      </w:pPr>
      <w:r w:rsidRPr="006234D0">
        <w:rPr>
          <w:rFonts w:asciiTheme="minorHAnsi" w:hAnsiTheme="minorHAnsi"/>
        </w:rPr>
        <w:t xml:space="preserve">Cláusula terceira A formalização de pedido de quitação ou parcelamento implica reconhecimento dos débitos tributários nele incluídos, ficando condicionada à desistência de eventuais ações ou embargos à execução fiscal, com renúncia ao direito sobre o qual se fundam nos autos judiciais respectivos. </w:t>
      </w:r>
    </w:p>
    <w:p w:rsidR="008B7D25" w:rsidRDefault="0031729D" w:rsidP="006234D0">
      <w:pPr>
        <w:pStyle w:val="NormalWeb"/>
        <w:jc w:val="both"/>
        <w:rPr>
          <w:rFonts w:asciiTheme="minorHAnsi" w:hAnsiTheme="minorHAnsi"/>
        </w:rPr>
      </w:pPr>
      <w:r w:rsidRPr="006234D0">
        <w:rPr>
          <w:rFonts w:asciiTheme="minorHAnsi" w:hAnsiTheme="minorHAnsi"/>
        </w:rPr>
        <w:t xml:space="preserve">Parágrafo único. A formalização do pedido será feita durante a "Semana Nacional da Conciliação", promovida pelo Poder Judiciário. Cláusula quarta A legislação do Estado </w:t>
      </w:r>
      <w:r w:rsidRPr="006234D0">
        <w:rPr>
          <w:rFonts w:asciiTheme="minorHAnsi" w:hAnsiTheme="minorHAnsi"/>
        </w:rPr>
        <w:lastRenderedPageBreak/>
        <w:t xml:space="preserve">poderá dispor sobre outras condições para fruição dos benefícios previstos neste convenio. </w:t>
      </w:r>
    </w:p>
    <w:p w:rsidR="008B7D25" w:rsidRDefault="0031729D" w:rsidP="006234D0">
      <w:pPr>
        <w:pStyle w:val="NormalWeb"/>
        <w:jc w:val="both"/>
        <w:rPr>
          <w:rFonts w:asciiTheme="minorHAnsi" w:hAnsiTheme="minorHAnsi"/>
        </w:rPr>
      </w:pPr>
      <w:r w:rsidRPr="006234D0">
        <w:rPr>
          <w:rFonts w:asciiTheme="minorHAnsi" w:hAnsiTheme="minorHAnsi"/>
        </w:rPr>
        <w:t xml:space="preserve">Cláusula quinta O disposto neste convênio não autoriza a restituição ou compensação de importâncias já pagas. </w:t>
      </w:r>
    </w:p>
    <w:p w:rsidR="0031729D" w:rsidRPr="006234D0" w:rsidRDefault="0031729D" w:rsidP="006234D0">
      <w:pPr>
        <w:pStyle w:val="NormalWeb"/>
        <w:jc w:val="both"/>
        <w:rPr>
          <w:rFonts w:asciiTheme="minorHAnsi" w:hAnsiTheme="minorHAnsi"/>
        </w:rPr>
      </w:pPr>
      <w:r w:rsidRPr="006234D0">
        <w:rPr>
          <w:rFonts w:asciiTheme="minorHAnsi" w:hAnsiTheme="minorHAnsi"/>
        </w:rPr>
        <w:t xml:space="preserve">Cláusula </w:t>
      </w:r>
      <w:proofErr w:type="gramStart"/>
      <w:r w:rsidRPr="006234D0">
        <w:rPr>
          <w:rFonts w:asciiTheme="minorHAnsi" w:hAnsiTheme="minorHAnsi"/>
        </w:rPr>
        <w:t>sexta Este</w:t>
      </w:r>
      <w:proofErr w:type="gramEnd"/>
      <w:r w:rsidRPr="006234D0">
        <w:rPr>
          <w:rFonts w:asciiTheme="minorHAnsi" w:hAnsiTheme="minorHAnsi"/>
        </w:rPr>
        <w:t xml:space="preserve"> convênio entra em vigor na data da publicação de sua ratificação nacional. Presidente do CONFAZ, em exercício - Eduardo </w:t>
      </w:r>
      <w:proofErr w:type="spellStart"/>
      <w:r w:rsidRPr="006234D0">
        <w:rPr>
          <w:rFonts w:asciiTheme="minorHAnsi" w:hAnsiTheme="minorHAnsi"/>
        </w:rPr>
        <w:t>Refinetti</w:t>
      </w:r>
      <w:proofErr w:type="spellEnd"/>
      <w:r w:rsidRPr="006234D0">
        <w:rPr>
          <w:rFonts w:asciiTheme="minorHAnsi" w:hAnsiTheme="minorHAnsi"/>
        </w:rPr>
        <w:t xml:space="preserve"> </w:t>
      </w:r>
      <w:proofErr w:type="spellStart"/>
      <w:r w:rsidRPr="006234D0">
        <w:rPr>
          <w:rFonts w:asciiTheme="minorHAnsi" w:hAnsiTheme="minorHAnsi"/>
        </w:rPr>
        <w:t>Guardia</w:t>
      </w:r>
      <w:proofErr w:type="spellEnd"/>
    </w:p>
    <w:p w:rsidR="00EC24BB" w:rsidRPr="006234D0" w:rsidRDefault="00EC24BB" w:rsidP="006234D0">
      <w:pPr>
        <w:pStyle w:val="NormalWeb"/>
        <w:jc w:val="both"/>
        <w:rPr>
          <w:rFonts w:asciiTheme="minorHAnsi" w:hAnsiTheme="minorHAnsi"/>
        </w:rPr>
      </w:pPr>
    </w:p>
    <w:p w:rsidR="008B7D25" w:rsidRDefault="008B7D25" w:rsidP="006234D0">
      <w:pPr>
        <w:pStyle w:val="NormalWeb"/>
        <w:jc w:val="both"/>
        <w:rPr>
          <w:rFonts w:asciiTheme="minorHAnsi" w:hAnsiTheme="minorHAnsi"/>
        </w:rPr>
      </w:pPr>
    </w:p>
    <w:p w:rsidR="00E15674" w:rsidRPr="00E15674" w:rsidRDefault="00EC24BB" w:rsidP="00E15674">
      <w:pPr>
        <w:pStyle w:val="NormalWeb"/>
        <w:jc w:val="center"/>
        <w:rPr>
          <w:rFonts w:asciiTheme="minorHAnsi" w:hAnsiTheme="minorHAnsi"/>
          <w:b/>
        </w:rPr>
      </w:pPr>
      <w:r w:rsidRPr="00E15674">
        <w:rPr>
          <w:rFonts w:asciiTheme="minorHAnsi" w:hAnsiTheme="minorHAnsi"/>
          <w:b/>
        </w:rPr>
        <w:t>PORTARIA</w:t>
      </w:r>
      <w:r w:rsidR="00E15674" w:rsidRPr="00E15674">
        <w:rPr>
          <w:rFonts w:asciiTheme="minorHAnsi" w:hAnsiTheme="minorHAnsi"/>
          <w:b/>
        </w:rPr>
        <w:t xml:space="preserve"> SECEX</w:t>
      </w:r>
      <w:r w:rsidRPr="00E15674">
        <w:rPr>
          <w:rFonts w:asciiTheme="minorHAnsi" w:hAnsiTheme="minorHAnsi"/>
          <w:b/>
        </w:rPr>
        <w:t xml:space="preserve"> Nº 47, DE 11 DE NOVEMBRO DE 2016 (DOU 14/11/2016)</w:t>
      </w:r>
    </w:p>
    <w:p w:rsidR="00104306" w:rsidRDefault="00EC24BB" w:rsidP="006234D0">
      <w:pPr>
        <w:pStyle w:val="NormalWeb"/>
        <w:jc w:val="both"/>
        <w:rPr>
          <w:rFonts w:asciiTheme="minorHAnsi" w:hAnsiTheme="minorHAnsi"/>
        </w:rPr>
      </w:pPr>
      <w:r w:rsidRPr="006234D0">
        <w:rPr>
          <w:rFonts w:asciiTheme="minorHAnsi" w:hAnsiTheme="minorHAnsi"/>
        </w:rPr>
        <w:t xml:space="preserve">Estabelece critérios para alocação de cotas para importação, determinadas pelas Resoluções CAMEX nº 109 e nº 110, ambas de 08 de novembro de 2016. O SECRETÁRIO DE COMÉRCIO EXTERIOR DO MINISTÉRIO DA INDÚSTRIA, COMÉRCIO EXTERIOR E SERVIÇOS, no uso das atribuições que lhe foram conferidas pelos incisos I e XIX do art. 17 do Anexo I ao Decreto nº 8.663, de 3 de fevereiro de 2016, tendo em consideração as Resoluções CAMEX nº 109 e nº 110, de 08 de novembro de 2016, resolve: </w:t>
      </w:r>
    </w:p>
    <w:p w:rsidR="00104306" w:rsidRDefault="00EC24BB" w:rsidP="006234D0">
      <w:pPr>
        <w:pStyle w:val="NormalWeb"/>
        <w:jc w:val="both"/>
        <w:rPr>
          <w:rFonts w:asciiTheme="minorHAnsi" w:hAnsiTheme="minorHAnsi"/>
        </w:rPr>
      </w:pPr>
      <w:r w:rsidRPr="006234D0">
        <w:rPr>
          <w:rFonts w:asciiTheme="minorHAnsi" w:hAnsiTheme="minorHAnsi"/>
        </w:rPr>
        <w:t xml:space="preserve">Art. 1º Os incisos XXIV, LXIII, LXVI, LXXIII, LXXX e LXXXI do art. 1º do Anexo III da Portaria SECEX nº 23, de 14 de julho de 2011, passam a vigorar com a seguinte redação: </w:t>
      </w:r>
    </w:p>
    <w:p w:rsidR="00104306" w:rsidRDefault="00EC24BB" w:rsidP="006234D0">
      <w:pPr>
        <w:pStyle w:val="NormalWeb"/>
        <w:jc w:val="both"/>
        <w:rPr>
          <w:rFonts w:asciiTheme="minorHAnsi" w:hAnsiTheme="minorHAnsi"/>
        </w:rPr>
      </w:pPr>
      <w:r w:rsidRPr="006234D0">
        <w:rPr>
          <w:rFonts w:asciiTheme="minorHAnsi" w:hAnsiTheme="minorHAnsi"/>
        </w:rPr>
        <w:t xml:space="preserve">"XXIV - Resolução CAMEX nº 109, de 08 de novembro de 2016, publicada no D.O.U. de 10 de novembro de 2016: </w:t>
      </w:r>
    </w:p>
    <w:p w:rsidR="00104306" w:rsidRDefault="00EC24BB" w:rsidP="006234D0">
      <w:pPr>
        <w:pStyle w:val="NormalWeb"/>
        <w:jc w:val="both"/>
        <w:rPr>
          <w:rFonts w:asciiTheme="minorHAnsi" w:hAnsiTheme="minorHAnsi"/>
        </w:rPr>
      </w:pPr>
      <w:r w:rsidRPr="006234D0">
        <w:rPr>
          <w:rFonts w:asciiTheme="minorHAnsi" w:hAnsiTheme="minorHAnsi"/>
        </w:rPr>
        <w:t xml:space="preserve">CÓDIGO NCM DESCRIÇÃO ALÍQUOTA DO II QUANTIDADE VIGÊNCIA </w:t>
      </w:r>
    </w:p>
    <w:p w:rsidR="00104306" w:rsidRDefault="00EC24BB" w:rsidP="006234D0">
      <w:pPr>
        <w:pStyle w:val="NormalWeb"/>
        <w:jc w:val="both"/>
        <w:rPr>
          <w:rFonts w:asciiTheme="minorHAnsi" w:hAnsiTheme="minorHAnsi"/>
        </w:rPr>
      </w:pPr>
      <w:r w:rsidRPr="006234D0">
        <w:rPr>
          <w:rFonts w:asciiTheme="minorHAnsi" w:hAnsiTheme="minorHAnsi"/>
        </w:rPr>
        <w:t xml:space="preserve">3002.10.37 </w:t>
      </w:r>
      <w:proofErr w:type="spellStart"/>
      <w:r w:rsidRPr="006234D0">
        <w:rPr>
          <w:rFonts w:asciiTheme="minorHAnsi" w:hAnsiTheme="minorHAnsi"/>
        </w:rPr>
        <w:t>Soroalbumina</w:t>
      </w:r>
      <w:proofErr w:type="spellEnd"/>
      <w:r w:rsidRPr="006234D0">
        <w:rPr>
          <w:rFonts w:asciiTheme="minorHAnsi" w:hAnsiTheme="minorHAnsi"/>
        </w:rPr>
        <w:t xml:space="preserve"> </w:t>
      </w:r>
      <w:proofErr w:type="spellStart"/>
      <w:r w:rsidRPr="006234D0">
        <w:rPr>
          <w:rFonts w:asciiTheme="minorHAnsi" w:hAnsiTheme="minorHAnsi"/>
        </w:rPr>
        <w:t>huma</w:t>
      </w:r>
      <w:proofErr w:type="spellEnd"/>
      <w:r w:rsidRPr="006234D0">
        <w:rPr>
          <w:rFonts w:asciiTheme="minorHAnsi" w:hAnsiTheme="minorHAnsi"/>
        </w:rPr>
        <w:t xml:space="preserve">- </w:t>
      </w:r>
      <w:proofErr w:type="gramStart"/>
      <w:r w:rsidRPr="006234D0">
        <w:rPr>
          <w:rFonts w:asciiTheme="minorHAnsi" w:hAnsiTheme="minorHAnsi"/>
        </w:rPr>
        <w:t>na 0% 556.080 frascos</w:t>
      </w:r>
      <w:proofErr w:type="gramEnd"/>
      <w:r w:rsidRPr="006234D0">
        <w:rPr>
          <w:rFonts w:asciiTheme="minorHAnsi" w:hAnsiTheme="minorHAnsi"/>
        </w:rPr>
        <w:t xml:space="preserve"> com capacidade de 10 g 10/11/2016 a 0 9 / 11 / 2 0 1 7</w:t>
      </w:r>
    </w:p>
    <w:p w:rsidR="00104306" w:rsidRDefault="00EC24BB" w:rsidP="006234D0">
      <w:pPr>
        <w:pStyle w:val="NormalWeb"/>
        <w:jc w:val="both"/>
        <w:rPr>
          <w:rFonts w:asciiTheme="minorHAnsi" w:hAnsiTheme="minorHAnsi"/>
        </w:rPr>
      </w:pPr>
      <w:r w:rsidRPr="006234D0">
        <w:rPr>
          <w:rFonts w:asciiTheme="minorHAnsi" w:hAnsiTheme="minorHAnsi"/>
        </w:rPr>
        <w:t xml:space="preserve"> .................................. </w:t>
      </w:r>
    </w:p>
    <w:p w:rsidR="00104306" w:rsidRDefault="00EC24BB" w:rsidP="006234D0">
      <w:pPr>
        <w:pStyle w:val="NormalWeb"/>
        <w:jc w:val="both"/>
        <w:rPr>
          <w:rFonts w:asciiTheme="minorHAnsi" w:hAnsiTheme="minorHAnsi"/>
        </w:rPr>
      </w:pPr>
      <w:r w:rsidRPr="006234D0">
        <w:rPr>
          <w:rFonts w:asciiTheme="minorHAnsi" w:hAnsiTheme="minorHAnsi"/>
        </w:rPr>
        <w:t xml:space="preserve">b) o importador deverá fazer constar, no campo Especificação do pedido de LI, a quantidade em frascos com capacidade de 10 g; </w:t>
      </w:r>
      <w:r w:rsidR="00104306">
        <w:rPr>
          <w:rFonts w:asciiTheme="minorHAnsi" w:hAnsiTheme="minorHAnsi"/>
        </w:rPr>
        <w:t>e</w:t>
      </w:r>
    </w:p>
    <w:p w:rsidR="00104306" w:rsidRDefault="00EC24BB" w:rsidP="006234D0">
      <w:pPr>
        <w:pStyle w:val="NormalWeb"/>
        <w:jc w:val="both"/>
        <w:rPr>
          <w:rFonts w:asciiTheme="minorHAnsi" w:hAnsiTheme="minorHAnsi"/>
        </w:rPr>
      </w:pPr>
      <w:r w:rsidRPr="006234D0">
        <w:rPr>
          <w:rFonts w:asciiTheme="minorHAnsi" w:hAnsiTheme="minorHAnsi"/>
        </w:rPr>
        <w:t>c) caso seja constatado o esgotamento da cota global, o DECEX não emitirá novas licenças de importação para essa cota, ainda que já registrado pedido de LI no SISCOMEX." (NR)</w:t>
      </w:r>
    </w:p>
    <w:p w:rsidR="00104306" w:rsidRDefault="00EC24BB" w:rsidP="006234D0">
      <w:pPr>
        <w:pStyle w:val="NormalWeb"/>
        <w:jc w:val="both"/>
        <w:rPr>
          <w:rFonts w:asciiTheme="minorHAnsi" w:hAnsiTheme="minorHAnsi"/>
        </w:rPr>
      </w:pPr>
      <w:r w:rsidRPr="006234D0">
        <w:rPr>
          <w:rFonts w:asciiTheme="minorHAnsi" w:hAnsiTheme="minorHAnsi"/>
        </w:rPr>
        <w:t xml:space="preserve">"LXIII - Resolução CAMEX nº 109, de 08 de novembro de 2016, publicada no D.O.U. de 10 de novembro de 2016: </w:t>
      </w:r>
    </w:p>
    <w:p w:rsidR="00104306" w:rsidRDefault="00EC24BB" w:rsidP="006234D0">
      <w:pPr>
        <w:pStyle w:val="NormalWeb"/>
        <w:jc w:val="both"/>
        <w:rPr>
          <w:rFonts w:asciiTheme="minorHAnsi" w:hAnsiTheme="minorHAnsi"/>
        </w:rPr>
      </w:pPr>
      <w:r w:rsidRPr="006234D0">
        <w:rPr>
          <w:rFonts w:asciiTheme="minorHAnsi" w:hAnsiTheme="minorHAnsi"/>
        </w:rPr>
        <w:t xml:space="preserve">CÓDIGO NCM DESCRIÇÃO ALÍQUOTA DO II QUANTIDADE VIGÊNCIA </w:t>
      </w:r>
    </w:p>
    <w:p w:rsidR="00104306" w:rsidRDefault="00EC24BB" w:rsidP="006234D0">
      <w:pPr>
        <w:pStyle w:val="NormalWeb"/>
        <w:jc w:val="both"/>
        <w:rPr>
          <w:rFonts w:asciiTheme="minorHAnsi" w:hAnsiTheme="minorHAnsi"/>
        </w:rPr>
      </w:pPr>
      <w:r w:rsidRPr="006234D0">
        <w:rPr>
          <w:rFonts w:asciiTheme="minorHAnsi" w:hAnsiTheme="minorHAnsi"/>
        </w:rPr>
        <w:lastRenderedPageBreak/>
        <w:t>3920.91.00 -- De poli (</w:t>
      </w:r>
      <w:proofErr w:type="spellStart"/>
      <w:r w:rsidRPr="006234D0">
        <w:rPr>
          <w:rFonts w:asciiTheme="minorHAnsi" w:hAnsiTheme="minorHAnsi"/>
        </w:rPr>
        <w:t>butiral</w:t>
      </w:r>
      <w:proofErr w:type="spellEnd"/>
      <w:r w:rsidRPr="006234D0">
        <w:rPr>
          <w:rFonts w:asciiTheme="minorHAnsi" w:hAnsiTheme="minorHAnsi"/>
        </w:rPr>
        <w:t xml:space="preserve"> de </w:t>
      </w:r>
      <w:proofErr w:type="spellStart"/>
      <w:r w:rsidRPr="006234D0">
        <w:rPr>
          <w:rFonts w:asciiTheme="minorHAnsi" w:hAnsiTheme="minorHAnsi"/>
        </w:rPr>
        <w:t>vinila</w:t>
      </w:r>
      <w:proofErr w:type="spellEnd"/>
      <w:r w:rsidRPr="006234D0">
        <w:rPr>
          <w:rFonts w:asciiTheme="minorHAnsi" w:hAnsiTheme="minorHAnsi"/>
        </w:rPr>
        <w:t xml:space="preserve">) 2% 11.130.250 kg 10/11/2016 a 09/11/2017 .................................. </w:t>
      </w:r>
    </w:p>
    <w:p w:rsidR="00104306" w:rsidRDefault="00EC24BB" w:rsidP="006234D0">
      <w:pPr>
        <w:pStyle w:val="NormalWeb"/>
        <w:jc w:val="both"/>
        <w:rPr>
          <w:rFonts w:asciiTheme="minorHAnsi" w:hAnsiTheme="minorHAnsi"/>
        </w:rPr>
      </w:pPr>
      <w:r w:rsidRPr="006234D0">
        <w:rPr>
          <w:rFonts w:asciiTheme="minorHAnsi" w:hAnsiTheme="minorHAnsi"/>
        </w:rPr>
        <w:t xml:space="preserve">b) será concedida inicialmente a cada empresa uma cota máxima de 1.200 toneladas do produto, podendo cada importador obter mais de uma LI, desde que a soma das quantidades informadas nas LI seja inferior ou igual ao limite inicialmente estabelecido; </w:t>
      </w:r>
    </w:p>
    <w:p w:rsidR="00104306" w:rsidRDefault="00EC24BB" w:rsidP="006234D0">
      <w:pPr>
        <w:pStyle w:val="NormalWeb"/>
        <w:jc w:val="both"/>
        <w:rPr>
          <w:rFonts w:asciiTheme="minorHAnsi" w:hAnsiTheme="minorHAnsi"/>
        </w:rPr>
      </w:pPr>
      <w:r w:rsidRPr="006234D0">
        <w:rPr>
          <w:rFonts w:asciiTheme="minorHAnsi" w:hAnsiTheme="minorHAnsi"/>
        </w:rPr>
        <w:t>c)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w:t>
      </w:r>
    </w:p>
    <w:p w:rsidR="00104306" w:rsidRDefault="00EC24BB" w:rsidP="006234D0">
      <w:pPr>
        <w:pStyle w:val="NormalWeb"/>
        <w:jc w:val="both"/>
        <w:rPr>
          <w:rFonts w:asciiTheme="minorHAnsi" w:hAnsiTheme="minorHAnsi"/>
        </w:rPr>
      </w:pPr>
      <w:r w:rsidRPr="006234D0">
        <w:rPr>
          <w:rFonts w:asciiTheme="minorHAnsi" w:hAnsiTheme="minorHAnsi"/>
        </w:rPr>
        <w:t>d) caso seja constatado o esgotamento da cota global, o DECEX não emitirá novas licenças de importação para essa cota, ainda que já registrado pedido de LI no SISCOMEX." (NR)</w:t>
      </w:r>
    </w:p>
    <w:p w:rsidR="00104306" w:rsidRDefault="00EC24BB" w:rsidP="006234D0">
      <w:pPr>
        <w:pStyle w:val="NormalWeb"/>
        <w:jc w:val="both"/>
        <w:rPr>
          <w:rFonts w:asciiTheme="minorHAnsi" w:hAnsiTheme="minorHAnsi"/>
        </w:rPr>
      </w:pPr>
      <w:r w:rsidRPr="006234D0">
        <w:rPr>
          <w:rFonts w:asciiTheme="minorHAnsi" w:hAnsiTheme="minorHAnsi"/>
        </w:rPr>
        <w:t xml:space="preserve">"LXVI - Resolução CAMEX nº 109, de 08 de novembro de 2016, publicada no D.O.U. de 10 de novembro de 2016: </w:t>
      </w:r>
    </w:p>
    <w:p w:rsidR="00104306" w:rsidRDefault="00EC24BB" w:rsidP="006234D0">
      <w:pPr>
        <w:pStyle w:val="NormalWeb"/>
        <w:jc w:val="both"/>
        <w:rPr>
          <w:rFonts w:asciiTheme="minorHAnsi" w:hAnsiTheme="minorHAnsi"/>
        </w:rPr>
      </w:pPr>
      <w:r w:rsidRPr="006234D0">
        <w:rPr>
          <w:rFonts w:asciiTheme="minorHAnsi" w:hAnsiTheme="minorHAnsi"/>
        </w:rPr>
        <w:t xml:space="preserve">CÓDIGO NCM DESCRIÇÃO ALÍQUOTA DO II QUANTIDADE VIGÊNCIA </w:t>
      </w:r>
    </w:p>
    <w:p w:rsidR="00104306" w:rsidRDefault="00EC24BB" w:rsidP="006234D0">
      <w:pPr>
        <w:pStyle w:val="NormalWeb"/>
        <w:jc w:val="both"/>
        <w:rPr>
          <w:rFonts w:asciiTheme="minorHAnsi" w:hAnsiTheme="minorHAnsi"/>
        </w:rPr>
      </w:pPr>
      <w:r w:rsidRPr="006234D0">
        <w:rPr>
          <w:rFonts w:asciiTheme="minorHAnsi" w:hAnsiTheme="minorHAnsi"/>
        </w:rPr>
        <w:t xml:space="preserve">2815.12.00 -- Em solução aquosa (lixívia de soda cáustica) </w:t>
      </w:r>
      <w:proofErr w:type="spellStart"/>
      <w:r w:rsidRPr="006234D0">
        <w:rPr>
          <w:rFonts w:asciiTheme="minorHAnsi" w:hAnsiTheme="minorHAnsi"/>
        </w:rPr>
        <w:t>Ex</w:t>
      </w:r>
      <w:proofErr w:type="spellEnd"/>
      <w:r w:rsidRPr="006234D0">
        <w:rPr>
          <w:rFonts w:asciiTheme="minorHAnsi" w:hAnsiTheme="minorHAnsi"/>
        </w:rPr>
        <w:t xml:space="preserve"> 001 - Para uso exclusivo na produção de alumina (ou óxido de alumínio) 2% 180.000 toneladas (base úmida) 10/11/2016 a 0 9 / 11 / 2 0 1 7 </w:t>
      </w:r>
    </w:p>
    <w:p w:rsidR="00104306" w:rsidRDefault="00EC24BB" w:rsidP="006234D0">
      <w:pPr>
        <w:pStyle w:val="NormalWeb"/>
        <w:jc w:val="both"/>
        <w:rPr>
          <w:rFonts w:asciiTheme="minorHAnsi" w:hAnsiTheme="minorHAnsi"/>
        </w:rPr>
      </w:pPr>
      <w:r w:rsidRPr="006234D0">
        <w:rPr>
          <w:rFonts w:asciiTheme="minorHAnsi" w:hAnsiTheme="minorHAnsi"/>
        </w:rPr>
        <w:t xml:space="preserve">.................................. </w:t>
      </w:r>
    </w:p>
    <w:p w:rsidR="00104306" w:rsidRDefault="00EC24BB" w:rsidP="006234D0">
      <w:pPr>
        <w:pStyle w:val="NormalWeb"/>
        <w:jc w:val="both"/>
        <w:rPr>
          <w:rFonts w:asciiTheme="minorHAnsi" w:hAnsiTheme="minorHAnsi"/>
        </w:rPr>
      </w:pPr>
      <w:r w:rsidRPr="006234D0">
        <w:rPr>
          <w:rFonts w:asciiTheme="minorHAnsi" w:hAnsiTheme="minorHAnsi"/>
        </w:rPr>
        <w:t xml:space="preserve">d) será concedida inicialmente a cada empresa uma cota máxima de 24.000 toneladas do produto, podendo cada importador obter mais de uma LI, desde que a soma das quantidades informadas nas LI seja inferior ou igual ao limite inicialmente estabelecido; </w:t>
      </w:r>
    </w:p>
    <w:p w:rsidR="00104306" w:rsidRDefault="00EC24BB" w:rsidP="006234D0">
      <w:pPr>
        <w:pStyle w:val="NormalWeb"/>
        <w:jc w:val="both"/>
        <w:rPr>
          <w:rFonts w:asciiTheme="minorHAnsi" w:hAnsiTheme="minorHAnsi"/>
        </w:rPr>
      </w:pPr>
      <w:r w:rsidRPr="006234D0">
        <w:rPr>
          <w:rFonts w:asciiTheme="minorHAnsi" w:hAnsiTheme="minorHAnsi"/>
        </w:rPr>
        <w:t xml:space="preserve">e) após atingida a quantidade máxima inicialmente estabelecida, novas concessões para a mesma empresa estarão condicionadas ao efetivo despacho para consumo da mercadoria objeto das concessões anteriores e a quantidade liberada será, no máximo, igual à parcela já desembaraçada; e </w:t>
      </w:r>
    </w:p>
    <w:p w:rsidR="00104306" w:rsidRDefault="00EC24BB" w:rsidP="006234D0">
      <w:pPr>
        <w:pStyle w:val="NormalWeb"/>
        <w:jc w:val="both"/>
        <w:rPr>
          <w:rFonts w:asciiTheme="minorHAnsi" w:hAnsiTheme="minorHAnsi"/>
        </w:rPr>
      </w:pPr>
      <w:r w:rsidRPr="006234D0">
        <w:rPr>
          <w:rFonts w:asciiTheme="minorHAnsi" w:hAnsiTheme="minorHAnsi"/>
        </w:rPr>
        <w:t>f) caso seja constatado o esgotamento da cota global, o DECEX não emitirá novas licenças de importação para essa cota, ainda que já registrado pedido de LI no SISCOMEX." (NR)</w:t>
      </w:r>
    </w:p>
    <w:p w:rsidR="00104306" w:rsidRDefault="00EC24BB" w:rsidP="006234D0">
      <w:pPr>
        <w:pStyle w:val="NormalWeb"/>
        <w:jc w:val="both"/>
        <w:rPr>
          <w:rFonts w:asciiTheme="minorHAnsi" w:hAnsiTheme="minorHAnsi"/>
        </w:rPr>
      </w:pPr>
      <w:r w:rsidRPr="006234D0">
        <w:rPr>
          <w:rFonts w:asciiTheme="minorHAnsi" w:hAnsiTheme="minorHAnsi"/>
        </w:rPr>
        <w:t xml:space="preserve">"LXXIII - Resolução CAMEX nº 109, de 08 de novembro de 2016, publicada no D.O.U. de 10 de novembro de 2016: CÓDIGO NCM DESCRIÇÃO ALÍQUOTA DO II QUANTIDADE VIGÊNCIA </w:t>
      </w:r>
    </w:p>
    <w:p w:rsidR="00104306" w:rsidRDefault="00EC24BB" w:rsidP="006234D0">
      <w:pPr>
        <w:pStyle w:val="NormalWeb"/>
        <w:jc w:val="both"/>
        <w:rPr>
          <w:rFonts w:asciiTheme="minorHAnsi" w:hAnsiTheme="minorHAnsi"/>
        </w:rPr>
      </w:pPr>
      <w:r w:rsidRPr="006234D0">
        <w:rPr>
          <w:rFonts w:asciiTheme="minorHAnsi" w:hAnsiTheme="minorHAnsi"/>
        </w:rPr>
        <w:t xml:space="preserve">5501.30.00 - Acrílicos ou </w:t>
      </w:r>
      <w:proofErr w:type="spellStart"/>
      <w:r w:rsidRPr="006234D0">
        <w:rPr>
          <w:rFonts w:asciiTheme="minorHAnsi" w:hAnsiTheme="minorHAnsi"/>
        </w:rPr>
        <w:t>modacrílicos</w:t>
      </w:r>
      <w:proofErr w:type="spellEnd"/>
      <w:r w:rsidRPr="006234D0">
        <w:rPr>
          <w:rFonts w:asciiTheme="minorHAnsi" w:hAnsiTheme="minorHAnsi"/>
        </w:rPr>
        <w:t xml:space="preserve"> 2% 4.800 toneladas 10/11/2016 a 09/11/2017 .................................. </w:t>
      </w:r>
    </w:p>
    <w:p w:rsidR="00104306" w:rsidRDefault="00EC24BB" w:rsidP="006234D0">
      <w:pPr>
        <w:pStyle w:val="NormalWeb"/>
        <w:jc w:val="both"/>
        <w:rPr>
          <w:rFonts w:asciiTheme="minorHAnsi" w:hAnsiTheme="minorHAnsi"/>
        </w:rPr>
      </w:pPr>
      <w:r w:rsidRPr="006234D0">
        <w:rPr>
          <w:rFonts w:asciiTheme="minorHAnsi" w:hAnsiTheme="minorHAnsi"/>
        </w:rPr>
        <w:lastRenderedPageBreak/>
        <w:t xml:space="preserve">c)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104306" w:rsidRDefault="00EC24BB" w:rsidP="006234D0">
      <w:pPr>
        <w:pStyle w:val="NormalWeb"/>
        <w:jc w:val="both"/>
        <w:rPr>
          <w:rFonts w:asciiTheme="minorHAnsi" w:hAnsiTheme="minorHAnsi"/>
        </w:rPr>
      </w:pPr>
      <w:r w:rsidRPr="006234D0">
        <w:rPr>
          <w:rFonts w:asciiTheme="minorHAnsi" w:hAnsiTheme="minorHAnsi"/>
        </w:rPr>
        <w:t>..................................." (NR)</w:t>
      </w:r>
    </w:p>
    <w:p w:rsidR="00104306" w:rsidRDefault="00EC24BB" w:rsidP="006234D0">
      <w:pPr>
        <w:pStyle w:val="NormalWeb"/>
        <w:jc w:val="both"/>
        <w:rPr>
          <w:rFonts w:asciiTheme="minorHAnsi" w:hAnsiTheme="minorHAnsi"/>
        </w:rPr>
      </w:pPr>
      <w:r w:rsidRPr="006234D0">
        <w:rPr>
          <w:rFonts w:asciiTheme="minorHAnsi" w:hAnsiTheme="minorHAnsi"/>
        </w:rPr>
        <w:t xml:space="preserve">"LXXX - Resolução CAMEX nº 109, de 08 de novembro de 2016, publicada no D.O.U. de 10 de novembro de 2016: CÓDIGO NCM DESCRIÇÃO ALÍQUOTA DO II QUANTIDADE VIGÊNCIA </w:t>
      </w:r>
    </w:p>
    <w:p w:rsidR="00104306" w:rsidRDefault="00EC24BB" w:rsidP="006234D0">
      <w:pPr>
        <w:pStyle w:val="NormalWeb"/>
        <w:jc w:val="both"/>
        <w:rPr>
          <w:rFonts w:asciiTheme="minorHAnsi" w:hAnsiTheme="minorHAnsi"/>
        </w:rPr>
      </w:pPr>
      <w:r w:rsidRPr="006234D0">
        <w:rPr>
          <w:rFonts w:asciiTheme="minorHAnsi" w:hAnsiTheme="minorHAnsi"/>
        </w:rPr>
        <w:t xml:space="preserve">3215.19.00 -- Outras </w:t>
      </w:r>
      <w:proofErr w:type="spellStart"/>
      <w:r w:rsidRPr="006234D0">
        <w:rPr>
          <w:rFonts w:asciiTheme="minorHAnsi" w:hAnsiTheme="minorHAnsi"/>
        </w:rPr>
        <w:t>Ex</w:t>
      </w:r>
      <w:proofErr w:type="spellEnd"/>
      <w:r w:rsidRPr="006234D0">
        <w:rPr>
          <w:rFonts w:asciiTheme="minorHAnsi" w:hAnsiTheme="minorHAnsi"/>
        </w:rPr>
        <w:t xml:space="preserve"> 001 - Outras tintas de impressão para estamparia digital têxtil. 2% 924 toneladas 10/11/2016 a 0 9 / 11 / 2 0 1 7 ..................................." (NR)</w:t>
      </w:r>
    </w:p>
    <w:p w:rsidR="00104306" w:rsidRDefault="00EC24BB" w:rsidP="006234D0">
      <w:pPr>
        <w:pStyle w:val="NormalWeb"/>
        <w:jc w:val="both"/>
        <w:rPr>
          <w:rFonts w:asciiTheme="minorHAnsi" w:hAnsiTheme="minorHAnsi"/>
        </w:rPr>
      </w:pPr>
      <w:r w:rsidRPr="006234D0">
        <w:rPr>
          <w:rFonts w:asciiTheme="minorHAnsi" w:hAnsiTheme="minorHAnsi"/>
        </w:rPr>
        <w:t xml:space="preserve">"LXXXI - Resolução CAMEX nº 109, de 08 de novembro de 2016, publicada no D.O.U. de 10 de novembro de 2016: CÓDIGO NCM DESCRIÇÃO ALÍQUOTA DO II QUANTIDADE VIGÊNCIA </w:t>
      </w:r>
    </w:p>
    <w:p w:rsidR="00104306" w:rsidRDefault="00EC24BB" w:rsidP="006234D0">
      <w:pPr>
        <w:pStyle w:val="NormalWeb"/>
        <w:jc w:val="both"/>
        <w:rPr>
          <w:rFonts w:asciiTheme="minorHAnsi" w:hAnsiTheme="minorHAnsi"/>
        </w:rPr>
      </w:pPr>
      <w:r w:rsidRPr="006234D0">
        <w:rPr>
          <w:rFonts w:asciiTheme="minorHAnsi" w:hAnsiTheme="minorHAnsi"/>
        </w:rPr>
        <w:t xml:space="preserve">3909.30.20 Sem Carga 2% 105.000 toneladas 10/11/2016 a 0 9 / 11 / 2 0 1 7 </w:t>
      </w:r>
      <w:proofErr w:type="spellStart"/>
      <w:r w:rsidRPr="006234D0">
        <w:rPr>
          <w:rFonts w:asciiTheme="minorHAnsi" w:hAnsiTheme="minorHAnsi"/>
        </w:rPr>
        <w:t>Ex</w:t>
      </w:r>
      <w:proofErr w:type="spellEnd"/>
      <w:r w:rsidRPr="006234D0">
        <w:rPr>
          <w:rFonts w:asciiTheme="minorHAnsi" w:hAnsiTheme="minorHAnsi"/>
        </w:rPr>
        <w:t xml:space="preserve"> 001 - Poli (</w:t>
      </w:r>
      <w:proofErr w:type="spellStart"/>
      <w:r w:rsidRPr="006234D0">
        <w:rPr>
          <w:rFonts w:asciiTheme="minorHAnsi" w:hAnsiTheme="minorHAnsi"/>
        </w:rPr>
        <w:t>isocianato</w:t>
      </w:r>
      <w:proofErr w:type="spellEnd"/>
      <w:r w:rsidRPr="006234D0">
        <w:rPr>
          <w:rFonts w:asciiTheme="minorHAnsi" w:hAnsiTheme="minorHAnsi"/>
        </w:rPr>
        <w:t xml:space="preserve"> de </w:t>
      </w:r>
      <w:proofErr w:type="spellStart"/>
      <w:r w:rsidRPr="006234D0">
        <w:rPr>
          <w:rFonts w:asciiTheme="minorHAnsi" w:hAnsiTheme="minorHAnsi"/>
        </w:rPr>
        <w:t>fenil</w:t>
      </w:r>
      <w:proofErr w:type="spellEnd"/>
      <w:r w:rsidRPr="006234D0">
        <w:rPr>
          <w:rFonts w:asciiTheme="minorHAnsi" w:hAnsiTheme="minorHAnsi"/>
        </w:rPr>
        <w:t xml:space="preserve"> metileno), denominado MDI Polimérico, apresentado na forma líquida ..................................</w:t>
      </w:r>
    </w:p>
    <w:p w:rsidR="00104306" w:rsidRDefault="00EC24BB" w:rsidP="006234D0">
      <w:pPr>
        <w:pStyle w:val="NormalWeb"/>
        <w:jc w:val="both"/>
        <w:rPr>
          <w:rFonts w:asciiTheme="minorHAnsi" w:hAnsiTheme="minorHAnsi"/>
        </w:rPr>
      </w:pPr>
      <w:r w:rsidRPr="006234D0">
        <w:rPr>
          <w:rFonts w:asciiTheme="minorHAnsi" w:hAnsiTheme="minorHAnsi"/>
        </w:rPr>
        <w:t xml:space="preserve">b) será concedida inicialmente a cada empresa uma cota máxima de 10.000 toneladas do produto, podendo cada importador obter mais de uma LI, desde que a soma das quantidades informadas nas LI seja inferior ou igual ao limite inicialmente estabelecido; ..................................." (NR) </w:t>
      </w:r>
    </w:p>
    <w:p w:rsidR="00104306" w:rsidRDefault="00EC24BB" w:rsidP="006234D0">
      <w:pPr>
        <w:pStyle w:val="NormalWeb"/>
        <w:jc w:val="both"/>
        <w:rPr>
          <w:rFonts w:asciiTheme="minorHAnsi" w:hAnsiTheme="minorHAnsi"/>
        </w:rPr>
      </w:pPr>
      <w:r w:rsidRPr="006234D0">
        <w:rPr>
          <w:rFonts w:asciiTheme="minorHAnsi" w:hAnsiTheme="minorHAnsi"/>
        </w:rPr>
        <w:t xml:space="preserve">Art. 2º Ficam incluídos os incisos XCI, XCII, XCIII e XCIV no art. 1º do Anexo III da Portaria SECEX nº 23, de 14 de julho de 2011, com a seguinte redação: </w:t>
      </w:r>
    </w:p>
    <w:p w:rsidR="00104306" w:rsidRDefault="00EC24BB" w:rsidP="006234D0">
      <w:pPr>
        <w:pStyle w:val="NormalWeb"/>
        <w:jc w:val="both"/>
        <w:rPr>
          <w:rFonts w:asciiTheme="minorHAnsi" w:hAnsiTheme="minorHAnsi"/>
        </w:rPr>
      </w:pPr>
      <w:r w:rsidRPr="006234D0">
        <w:rPr>
          <w:rFonts w:asciiTheme="minorHAnsi" w:hAnsiTheme="minorHAnsi"/>
        </w:rPr>
        <w:t xml:space="preserve">"XCI - Resolução CAMEX nº 109, de 08 de novembro de 2016, publicada no D.O.U. de 10 de novembro de 2016: CÓDIGO NCM DESCRIÇÃO ALÍQUOTA DO II QUANTIDADE VIGÊNCIA </w:t>
      </w:r>
    </w:p>
    <w:p w:rsidR="00104306" w:rsidRDefault="00EC24BB" w:rsidP="006234D0">
      <w:pPr>
        <w:pStyle w:val="NormalWeb"/>
        <w:jc w:val="both"/>
        <w:rPr>
          <w:rFonts w:asciiTheme="minorHAnsi" w:hAnsiTheme="minorHAnsi"/>
        </w:rPr>
      </w:pPr>
      <w:proofErr w:type="gramStart"/>
      <w:r w:rsidRPr="006234D0">
        <w:rPr>
          <w:rFonts w:asciiTheme="minorHAnsi" w:hAnsiTheme="minorHAnsi"/>
        </w:rPr>
        <w:t>3907.40.90 Outros</w:t>
      </w:r>
      <w:proofErr w:type="gramEnd"/>
      <w:r w:rsidRPr="006234D0">
        <w:rPr>
          <w:rFonts w:asciiTheme="minorHAnsi" w:hAnsiTheme="minorHAnsi"/>
        </w:rPr>
        <w:t xml:space="preserve"> 2% 35.040 toneladas 10/11/2016 a 0 9 / 11 / 2 0 1 7 </w:t>
      </w:r>
      <w:proofErr w:type="spellStart"/>
      <w:r w:rsidRPr="006234D0">
        <w:rPr>
          <w:rFonts w:asciiTheme="minorHAnsi" w:hAnsiTheme="minorHAnsi"/>
        </w:rPr>
        <w:t>Ex</w:t>
      </w:r>
      <w:proofErr w:type="spellEnd"/>
      <w:r w:rsidRPr="006234D0">
        <w:rPr>
          <w:rFonts w:asciiTheme="minorHAnsi" w:hAnsiTheme="minorHAnsi"/>
        </w:rPr>
        <w:t xml:space="preserve"> 001 - Policarbonato na forma de pó ou flocos </w:t>
      </w:r>
    </w:p>
    <w:p w:rsidR="00104306" w:rsidRDefault="00EC24BB" w:rsidP="006234D0">
      <w:pPr>
        <w:pStyle w:val="NormalWeb"/>
        <w:jc w:val="both"/>
        <w:rPr>
          <w:rFonts w:asciiTheme="minorHAnsi" w:hAnsiTheme="minorHAnsi"/>
        </w:rPr>
      </w:pPr>
      <w:r w:rsidRPr="006234D0">
        <w:rPr>
          <w:rFonts w:asciiTheme="minorHAnsi" w:hAnsiTheme="minorHAnsi"/>
        </w:rPr>
        <w:t xml:space="preserve">a) o exame dos pedidos de LI será realizado por ordem de registro no SISCOMEX; </w:t>
      </w:r>
    </w:p>
    <w:p w:rsidR="00104306" w:rsidRDefault="00EC24BB" w:rsidP="006234D0">
      <w:pPr>
        <w:pStyle w:val="NormalWeb"/>
        <w:jc w:val="both"/>
        <w:rPr>
          <w:rFonts w:asciiTheme="minorHAnsi" w:hAnsiTheme="minorHAnsi"/>
        </w:rPr>
      </w:pPr>
      <w:r w:rsidRPr="006234D0">
        <w:rPr>
          <w:rFonts w:asciiTheme="minorHAnsi" w:hAnsiTheme="minorHAnsi"/>
        </w:rPr>
        <w:t xml:space="preserve">b) o importador deverá fazer constar no pedido de LI a descrição conforme tabela acima; e </w:t>
      </w:r>
    </w:p>
    <w:p w:rsidR="00104306" w:rsidRDefault="00EC24BB" w:rsidP="006234D0">
      <w:pPr>
        <w:pStyle w:val="NormalWeb"/>
        <w:jc w:val="both"/>
        <w:rPr>
          <w:rFonts w:asciiTheme="minorHAnsi" w:hAnsiTheme="minorHAnsi"/>
        </w:rPr>
      </w:pPr>
      <w:r w:rsidRPr="006234D0">
        <w:rPr>
          <w:rFonts w:asciiTheme="minorHAnsi" w:hAnsiTheme="minorHAnsi"/>
        </w:rPr>
        <w:t>c) caso seja constatado o esgotamento da cota global, o DECEX não emitirá novas licenças de importação para essa cota, ainda que já registrado pedido de LI no SISCOMEX."</w:t>
      </w:r>
    </w:p>
    <w:p w:rsidR="00856C28" w:rsidRDefault="00EC24BB" w:rsidP="006234D0">
      <w:pPr>
        <w:pStyle w:val="NormalWeb"/>
        <w:jc w:val="both"/>
        <w:rPr>
          <w:rFonts w:asciiTheme="minorHAnsi" w:hAnsiTheme="minorHAnsi"/>
        </w:rPr>
      </w:pPr>
      <w:r w:rsidRPr="006234D0">
        <w:rPr>
          <w:rFonts w:asciiTheme="minorHAnsi" w:hAnsiTheme="minorHAnsi"/>
        </w:rPr>
        <w:lastRenderedPageBreak/>
        <w:t xml:space="preserve">"XCII - Resolução CAMEX nº 109, de 08 de novembro de 2016, publicada no D.O.U. de 10 de novembro de 2016: CÓDIGO NCM DESCRIÇÃO ALÍQUOTA DO II QUANTIDADE VIGÊNCIA </w:t>
      </w:r>
    </w:p>
    <w:p w:rsidR="00856C28" w:rsidRDefault="00EC24BB" w:rsidP="006234D0">
      <w:pPr>
        <w:pStyle w:val="NormalWeb"/>
        <w:jc w:val="both"/>
        <w:rPr>
          <w:rFonts w:asciiTheme="minorHAnsi" w:hAnsiTheme="minorHAnsi"/>
        </w:rPr>
      </w:pPr>
      <w:r w:rsidRPr="006234D0">
        <w:rPr>
          <w:rFonts w:asciiTheme="minorHAnsi" w:hAnsiTheme="minorHAnsi"/>
        </w:rPr>
        <w:t xml:space="preserve">3907.60.00 - Poli (tereftalato de etileno) </w:t>
      </w:r>
      <w:proofErr w:type="spellStart"/>
      <w:r w:rsidRPr="006234D0">
        <w:rPr>
          <w:rFonts w:asciiTheme="minorHAnsi" w:hAnsiTheme="minorHAnsi"/>
        </w:rPr>
        <w:t>Ex</w:t>
      </w:r>
      <w:proofErr w:type="spellEnd"/>
      <w:r w:rsidRPr="006234D0">
        <w:rPr>
          <w:rFonts w:asciiTheme="minorHAnsi" w:hAnsiTheme="minorHAnsi"/>
        </w:rPr>
        <w:t xml:space="preserve"> 001 - Poli (tereftalato de etileno) </w:t>
      </w:r>
      <w:proofErr w:type="spellStart"/>
      <w:r w:rsidRPr="006234D0">
        <w:rPr>
          <w:rFonts w:asciiTheme="minorHAnsi" w:hAnsiTheme="minorHAnsi"/>
        </w:rPr>
        <w:t>póscondensado</w:t>
      </w:r>
      <w:proofErr w:type="spellEnd"/>
      <w:r w:rsidRPr="006234D0">
        <w:rPr>
          <w:rFonts w:asciiTheme="minorHAnsi" w:hAnsiTheme="minorHAnsi"/>
        </w:rPr>
        <w:t xml:space="preserve">, com viscosidade intrínseca superior ou igual a 0,98 dl/g e inferior ou igual a 1,10 dl/g 2% 20.000 toneladas 10/11/2016 a 0 9 / 11 / 2 0 1 7 </w:t>
      </w:r>
    </w:p>
    <w:p w:rsidR="00856C28" w:rsidRDefault="00EC24BB" w:rsidP="006234D0">
      <w:pPr>
        <w:pStyle w:val="NormalWeb"/>
        <w:jc w:val="both"/>
        <w:rPr>
          <w:rFonts w:asciiTheme="minorHAnsi" w:hAnsiTheme="minorHAnsi"/>
        </w:rPr>
      </w:pPr>
      <w:r w:rsidRPr="006234D0">
        <w:rPr>
          <w:rFonts w:asciiTheme="minorHAnsi" w:hAnsiTheme="minorHAnsi"/>
        </w:rPr>
        <w:t xml:space="preserve">a) o exame dos pedidos de LI será realizado por ordem de registro no SISCOMEX; </w:t>
      </w:r>
    </w:p>
    <w:p w:rsidR="00856C28" w:rsidRDefault="00EC24BB" w:rsidP="006234D0">
      <w:pPr>
        <w:pStyle w:val="NormalWeb"/>
        <w:jc w:val="both"/>
        <w:rPr>
          <w:rFonts w:asciiTheme="minorHAnsi" w:hAnsiTheme="minorHAnsi"/>
        </w:rPr>
      </w:pPr>
      <w:r w:rsidRPr="006234D0">
        <w:rPr>
          <w:rFonts w:asciiTheme="minorHAnsi" w:hAnsiTheme="minorHAnsi"/>
        </w:rPr>
        <w:t xml:space="preserve">b) o importador deverá fazer constar no pedido de LI a descrição conforme tabela acima; </w:t>
      </w:r>
    </w:p>
    <w:p w:rsidR="00856C28" w:rsidRDefault="00EC24BB" w:rsidP="006234D0">
      <w:pPr>
        <w:pStyle w:val="NormalWeb"/>
        <w:jc w:val="both"/>
        <w:rPr>
          <w:rFonts w:asciiTheme="minorHAnsi" w:hAnsiTheme="minorHAnsi"/>
        </w:rPr>
      </w:pPr>
      <w:r w:rsidRPr="006234D0">
        <w:rPr>
          <w:rFonts w:asciiTheme="minorHAnsi" w:hAnsiTheme="minorHAnsi"/>
        </w:rPr>
        <w:t xml:space="preserve">c) será concedida inicialmente a cada empresa uma cota máxima de 2.000 toneladas do produto, podendo cada importador obter mais de uma LI, desde que a soma das quantidades informadas nas LI seja inferior ou igual ao limite inicialmente estabelecido; </w:t>
      </w:r>
    </w:p>
    <w:p w:rsidR="00856C28" w:rsidRDefault="00EC24BB" w:rsidP="006234D0">
      <w:pPr>
        <w:pStyle w:val="NormalWeb"/>
        <w:jc w:val="both"/>
        <w:rPr>
          <w:rFonts w:asciiTheme="minorHAnsi" w:hAnsiTheme="minorHAnsi"/>
        </w:rPr>
      </w:pPr>
      <w:r w:rsidRPr="006234D0">
        <w:rPr>
          <w:rFonts w:asciiTheme="minorHAnsi" w:hAnsiTheme="minorHAnsi"/>
        </w:rPr>
        <w:t xml:space="preserve">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856C28" w:rsidRDefault="00EC24BB" w:rsidP="006234D0">
      <w:pPr>
        <w:pStyle w:val="NormalWeb"/>
        <w:jc w:val="both"/>
        <w:rPr>
          <w:rFonts w:asciiTheme="minorHAnsi" w:hAnsiTheme="minorHAnsi"/>
        </w:rPr>
      </w:pPr>
      <w:r w:rsidRPr="006234D0">
        <w:rPr>
          <w:rFonts w:asciiTheme="minorHAnsi" w:hAnsiTheme="minorHAnsi"/>
        </w:rPr>
        <w:t>e) caso seja constatado o esgotamento da cota global, o DECEX não emitirá novas licenças de importação para essa cota, ainda que já registrado pedido de LI no SISCOMEX."</w:t>
      </w:r>
    </w:p>
    <w:p w:rsidR="00856C28" w:rsidRDefault="00EC24BB" w:rsidP="006234D0">
      <w:pPr>
        <w:pStyle w:val="NormalWeb"/>
        <w:jc w:val="both"/>
        <w:rPr>
          <w:rFonts w:asciiTheme="minorHAnsi" w:hAnsiTheme="minorHAnsi"/>
        </w:rPr>
      </w:pPr>
      <w:r w:rsidRPr="006234D0">
        <w:rPr>
          <w:rFonts w:asciiTheme="minorHAnsi" w:hAnsiTheme="minorHAnsi"/>
        </w:rPr>
        <w:t>"XCIII - Resolução CAMEX nº 109, de 08 de novembro de 2016, publicada no D.O.U. de 10 de novembro de 2016: CÓDIGO NCM DESCRIÇÃO ALÍQUOTA DO II QUANTIDADE VIGÊNCIA</w:t>
      </w:r>
    </w:p>
    <w:p w:rsidR="00856C28" w:rsidRDefault="00EC24BB" w:rsidP="006234D0">
      <w:pPr>
        <w:pStyle w:val="NormalWeb"/>
        <w:jc w:val="both"/>
        <w:rPr>
          <w:rFonts w:asciiTheme="minorHAnsi" w:hAnsiTheme="minorHAnsi"/>
        </w:rPr>
      </w:pPr>
      <w:r w:rsidRPr="006234D0">
        <w:rPr>
          <w:rFonts w:asciiTheme="minorHAnsi" w:hAnsiTheme="minorHAnsi"/>
        </w:rPr>
        <w:t xml:space="preserve"> 5402.47.10 Crus </w:t>
      </w:r>
      <w:proofErr w:type="spellStart"/>
      <w:r w:rsidRPr="006234D0">
        <w:rPr>
          <w:rFonts w:asciiTheme="minorHAnsi" w:hAnsiTheme="minorHAnsi"/>
        </w:rPr>
        <w:t>Ex</w:t>
      </w:r>
      <w:proofErr w:type="spellEnd"/>
      <w:r w:rsidRPr="006234D0">
        <w:rPr>
          <w:rFonts w:asciiTheme="minorHAnsi" w:hAnsiTheme="minorHAnsi"/>
        </w:rPr>
        <w:t xml:space="preserve"> 001 - Filamento elástico </w:t>
      </w:r>
      <w:proofErr w:type="spellStart"/>
      <w:r w:rsidRPr="006234D0">
        <w:rPr>
          <w:rFonts w:asciiTheme="minorHAnsi" w:hAnsiTheme="minorHAnsi"/>
        </w:rPr>
        <w:t>bicomponente</w:t>
      </w:r>
      <w:proofErr w:type="spellEnd"/>
      <w:r w:rsidRPr="006234D0">
        <w:rPr>
          <w:rFonts w:asciiTheme="minorHAnsi" w:hAnsiTheme="minorHAnsi"/>
        </w:rPr>
        <w:t xml:space="preserve"> de poliésteres, não </w:t>
      </w:r>
      <w:proofErr w:type="spellStart"/>
      <w:r w:rsidRPr="006234D0">
        <w:rPr>
          <w:rFonts w:asciiTheme="minorHAnsi" w:hAnsiTheme="minorHAnsi"/>
        </w:rPr>
        <w:t>texturizado</w:t>
      </w:r>
      <w:proofErr w:type="spellEnd"/>
      <w:r w:rsidRPr="006234D0">
        <w:rPr>
          <w:rFonts w:asciiTheme="minorHAnsi" w:hAnsiTheme="minorHAnsi"/>
        </w:rPr>
        <w:t>, denominado "</w:t>
      </w:r>
      <w:proofErr w:type="spellStart"/>
      <w:r w:rsidRPr="006234D0">
        <w:rPr>
          <w:rFonts w:asciiTheme="minorHAnsi" w:hAnsiTheme="minorHAnsi"/>
        </w:rPr>
        <w:t>Elastomultiéster</w:t>
      </w:r>
      <w:proofErr w:type="spellEnd"/>
      <w:r w:rsidRPr="006234D0">
        <w:rPr>
          <w:rFonts w:asciiTheme="minorHAnsi" w:hAnsiTheme="minorHAnsi"/>
        </w:rPr>
        <w:t xml:space="preserve">" 2% 2.200 toneladas 10/11/2016 a 0 9 / 11 / 2 0 1 7 </w:t>
      </w:r>
    </w:p>
    <w:p w:rsidR="00856C28" w:rsidRDefault="00EC24BB" w:rsidP="006234D0">
      <w:pPr>
        <w:pStyle w:val="NormalWeb"/>
        <w:jc w:val="both"/>
        <w:rPr>
          <w:rFonts w:asciiTheme="minorHAnsi" w:hAnsiTheme="minorHAnsi"/>
        </w:rPr>
      </w:pPr>
      <w:r w:rsidRPr="006234D0">
        <w:rPr>
          <w:rFonts w:asciiTheme="minorHAnsi" w:hAnsiTheme="minorHAnsi"/>
        </w:rPr>
        <w:t xml:space="preserve">a) o exame dos pedidos de LI será realizado por ordem de registro no SISCOMEX; </w:t>
      </w:r>
    </w:p>
    <w:p w:rsidR="00856C28" w:rsidRDefault="00EC24BB" w:rsidP="006234D0">
      <w:pPr>
        <w:pStyle w:val="NormalWeb"/>
        <w:jc w:val="both"/>
        <w:rPr>
          <w:rFonts w:asciiTheme="minorHAnsi" w:hAnsiTheme="minorHAnsi"/>
        </w:rPr>
      </w:pPr>
      <w:r w:rsidRPr="006234D0">
        <w:rPr>
          <w:rFonts w:asciiTheme="minorHAnsi" w:hAnsiTheme="minorHAnsi"/>
        </w:rPr>
        <w:t xml:space="preserve">b) o importador deverá fazer constar no pedido de LI a descrição constante da tabela acima; </w:t>
      </w:r>
    </w:p>
    <w:p w:rsidR="00856C28" w:rsidRDefault="00EC24BB" w:rsidP="006234D0">
      <w:pPr>
        <w:pStyle w:val="NormalWeb"/>
        <w:jc w:val="both"/>
        <w:rPr>
          <w:rFonts w:asciiTheme="minorHAnsi" w:hAnsiTheme="minorHAnsi"/>
        </w:rPr>
      </w:pPr>
      <w:r w:rsidRPr="006234D0">
        <w:rPr>
          <w:rFonts w:asciiTheme="minorHAnsi" w:hAnsiTheme="minorHAnsi"/>
        </w:rPr>
        <w:t xml:space="preserve">c) será concedida inicialmente a cada empresa uma cota máxima de 220 toneladas do produto, podendo cada importador obter mais de uma LI, desde que a soma das quantidades informadas nas LI seja inferior ou igual ao limite inicialmente estabelecido; </w:t>
      </w:r>
    </w:p>
    <w:p w:rsidR="00856C28" w:rsidRDefault="00EC24BB" w:rsidP="006234D0">
      <w:pPr>
        <w:pStyle w:val="NormalWeb"/>
        <w:jc w:val="both"/>
        <w:rPr>
          <w:rFonts w:asciiTheme="minorHAnsi" w:hAnsiTheme="minorHAnsi"/>
        </w:rPr>
      </w:pPr>
      <w:r w:rsidRPr="006234D0">
        <w:rPr>
          <w:rFonts w:asciiTheme="minorHAnsi" w:hAnsiTheme="minorHAnsi"/>
        </w:rPr>
        <w:t xml:space="preserve">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856C28" w:rsidRDefault="00EC24BB" w:rsidP="006234D0">
      <w:pPr>
        <w:pStyle w:val="NormalWeb"/>
        <w:jc w:val="both"/>
        <w:rPr>
          <w:rFonts w:asciiTheme="minorHAnsi" w:hAnsiTheme="minorHAnsi"/>
        </w:rPr>
      </w:pPr>
      <w:r w:rsidRPr="006234D0">
        <w:rPr>
          <w:rFonts w:asciiTheme="minorHAnsi" w:hAnsiTheme="minorHAnsi"/>
        </w:rPr>
        <w:lastRenderedPageBreak/>
        <w:t>e) caso seja constatado o esgotamento da cota global, o DECEX não emitirá novas licenças de importação para essa cota, ainda que já registrado pedido de LI no SISCOMEX.</w:t>
      </w:r>
    </w:p>
    <w:p w:rsidR="00856C28" w:rsidRDefault="00EC24BB" w:rsidP="006234D0">
      <w:pPr>
        <w:pStyle w:val="NormalWeb"/>
        <w:jc w:val="both"/>
        <w:rPr>
          <w:rFonts w:asciiTheme="minorHAnsi" w:hAnsiTheme="minorHAnsi"/>
        </w:rPr>
      </w:pPr>
      <w:r w:rsidRPr="006234D0">
        <w:rPr>
          <w:rFonts w:asciiTheme="minorHAnsi" w:hAnsiTheme="minorHAnsi"/>
        </w:rPr>
        <w:t xml:space="preserve">"XCIV - Resolução CAMEX nº 110, de 08 de novembro de 2016, publicada no D.O.U. de 10 de novembro de 2016: CÓDIGO NCM DESCRIÇÃO ALÍQUOTA DO II QUANTIDADE VIGÊNCIA 3002.20.29 Outras 0% 2.250.000 doses 10/11/2016 a 08/05/2017 </w:t>
      </w:r>
      <w:proofErr w:type="spellStart"/>
      <w:r w:rsidRPr="006234D0">
        <w:rPr>
          <w:rFonts w:asciiTheme="minorHAnsi" w:hAnsiTheme="minorHAnsi"/>
        </w:rPr>
        <w:t>Ex</w:t>
      </w:r>
      <w:proofErr w:type="spellEnd"/>
      <w:r w:rsidRPr="006234D0">
        <w:rPr>
          <w:rFonts w:asciiTheme="minorHAnsi" w:hAnsiTheme="minorHAnsi"/>
        </w:rPr>
        <w:t xml:space="preserve"> 002 - vacina contra a Hepatite </w:t>
      </w:r>
      <w:proofErr w:type="gramStart"/>
      <w:r w:rsidRPr="006234D0">
        <w:rPr>
          <w:rFonts w:asciiTheme="minorHAnsi" w:hAnsiTheme="minorHAnsi"/>
        </w:rPr>
        <w:t>A, apresentada</w:t>
      </w:r>
      <w:proofErr w:type="gramEnd"/>
      <w:r w:rsidRPr="006234D0">
        <w:rPr>
          <w:rFonts w:asciiTheme="minorHAnsi" w:hAnsiTheme="minorHAnsi"/>
        </w:rPr>
        <w:t xml:space="preserve"> em doses ou acondicionada para venda a retalho. </w:t>
      </w:r>
    </w:p>
    <w:p w:rsidR="00856C28" w:rsidRDefault="00EC24BB" w:rsidP="006234D0">
      <w:pPr>
        <w:pStyle w:val="NormalWeb"/>
        <w:jc w:val="both"/>
        <w:rPr>
          <w:rFonts w:asciiTheme="minorHAnsi" w:hAnsiTheme="minorHAnsi"/>
        </w:rPr>
      </w:pPr>
      <w:r w:rsidRPr="006234D0">
        <w:rPr>
          <w:rFonts w:asciiTheme="minorHAnsi" w:hAnsiTheme="minorHAnsi"/>
        </w:rPr>
        <w:t xml:space="preserve">a) o exame dos pedidos de LI será realizado por ordem de registro no SISCOMEX; </w:t>
      </w:r>
    </w:p>
    <w:p w:rsidR="00856C28" w:rsidRDefault="00EC24BB" w:rsidP="006234D0">
      <w:pPr>
        <w:pStyle w:val="NormalWeb"/>
        <w:jc w:val="both"/>
        <w:rPr>
          <w:rFonts w:asciiTheme="minorHAnsi" w:hAnsiTheme="minorHAnsi"/>
        </w:rPr>
      </w:pPr>
      <w:r w:rsidRPr="006234D0">
        <w:rPr>
          <w:rFonts w:asciiTheme="minorHAnsi" w:hAnsiTheme="minorHAnsi"/>
        </w:rPr>
        <w:t xml:space="preserve">b) quando do pedido da LI, o importador deverá fazer constar, no campo Especificação, a descrição constante da tabela acima, bem como a quantidade de doses; e </w:t>
      </w:r>
    </w:p>
    <w:p w:rsidR="00856C28" w:rsidRDefault="00EC24BB" w:rsidP="006234D0">
      <w:pPr>
        <w:pStyle w:val="NormalWeb"/>
        <w:jc w:val="both"/>
        <w:rPr>
          <w:rFonts w:asciiTheme="minorHAnsi" w:hAnsiTheme="minorHAnsi"/>
        </w:rPr>
      </w:pPr>
      <w:r w:rsidRPr="006234D0">
        <w:rPr>
          <w:rFonts w:asciiTheme="minorHAnsi" w:hAnsiTheme="minorHAnsi"/>
        </w:rPr>
        <w:t xml:space="preserve">c) caso seja constatado o esgotamento da cota global, o DECEX não emitirá novas licenças de importação para essa cota, ainda que já registrado pedido de LI no SISCOMEX." </w:t>
      </w:r>
    </w:p>
    <w:p w:rsidR="00856C28" w:rsidRDefault="00EC24BB" w:rsidP="006234D0">
      <w:pPr>
        <w:pStyle w:val="NormalWeb"/>
        <w:jc w:val="both"/>
        <w:rPr>
          <w:rFonts w:asciiTheme="minorHAnsi" w:hAnsiTheme="minorHAnsi"/>
        </w:rPr>
      </w:pPr>
      <w:r w:rsidRPr="006234D0">
        <w:rPr>
          <w:rFonts w:asciiTheme="minorHAnsi" w:hAnsiTheme="minorHAnsi"/>
        </w:rPr>
        <w:t xml:space="preserve">Art. 3º Esta Portaria entra em vigor na data de sua publicação. </w:t>
      </w:r>
    </w:p>
    <w:p w:rsidR="00EC24BB" w:rsidRPr="006234D0" w:rsidRDefault="00EC24BB" w:rsidP="006234D0">
      <w:pPr>
        <w:pStyle w:val="NormalWeb"/>
        <w:jc w:val="both"/>
        <w:rPr>
          <w:rFonts w:asciiTheme="minorHAnsi" w:hAnsiTheme="minorHAnsi"/>
        </w:rPr>
      </w:pPr>
      <w:r w:rsidRPr="006234D0">
        <w:rPr>
          <w:rFonts w:asciiTheme="minorHAnsi" w:hAnsiTheme="minorHAnsi"/>
        </w:rPr>
        <w:t>ABRÃO MIGUEL ÁRABE NETO</w:t>
      </w:r>
    </w:p>
    <w:p w:rsidR="009D5826" w:rsidRPr="006234D0" w:rsidRDefault="009D5826" w:rsidP="006234D0">
      <w:pPr>
        <w:pStyle w:val="NormalWeb"/>
        <w:jc w:val="both"/>
        <w:rPr>
          <w:rFonts w:asciiTheme="minorHAnsi" w:hAnsiTheme="minorHAnsi"/>
        </w:rPr>
      </w:pPr>
    </w:p>
    <w:p w:rsidR="00275136" w:rsidRPr="00275136" w:rsidRDefault="009D5826" w:rsidP="00275136">
      <w:pPr>
        <w:pStyle w:val="NormalWeb"/>
        <w:jc w:val="center"/>
        <w:rPr>
          <w:rFonts w:asciiTheme="minorHAnsi" w:hAnsiTheme="minorHAnsi"/>
          <w:b/>
        </w:rPr>
      </w:pPr>
      <w:r w:rsidRPr="00275136">
        <w:rPr>
          <w:rFonts w:asciiTheme="minorHAnsi" w:hAnsiTheme="minorHAnsi"/>
          <w:b/>
        </w:rPr>
        <w:t>SOLUÇÃO DE CONSULTA Nº 145, DE 27 DE SETEMBRO DE 2016 (DOU 17/11/2016)</w:t>
      </w:r>
    </w:p>
    <w:p w:rsidR="00275136" w:rsidRDefault="009D5826" w:rsidP="006234D0">
      <w:pPr>
        <w:pStyle w:val="NormalWeb"/>
        <w:jc w:val="both"/>
        <w:rPr>
          <w:rFonts w:asciiTheme="minorHAnsi" w:hAnsiTheme="minorHAnsi"/>
        </w:rPr>
      </w:pPr>
      <w:r w:rsidRPr="006234D0">
        <w:rPr>
          <w:rFonts w:asciiTheme="minorHAnsi" w:hAnsiTheme="minorHAnsi"/>
        </w:rPr>
        <w:t xml:space="preserve">ASSUNTO: DIREITOS ANTIDUMPING, COMPENSATÓ- RIOS OU DE SALVAGUARDAS COMERCIAIS EMENTA: Das alíquotas específicas do direito </w:t>
      </w:r>
      <w:proofErr w:type="spellStart"/>
      <w:r w:rsidRPr="006234D0">
        <w:rPr>
          <w:rFonts w:asciiTheme="minorHAnsi" w:hAnsiTheme="minorHAnsi"/>
        </w:rPr>
        <w:t>anti-dumping</w:t>
      </w:r>
      <w:proofErr w:type="spellEnd"/>
      <w:r w:rsidRPr="006234D0">
        <w:rPr>
          <w:rFonts w:asciiTheme="minorHAnsi" w:hAnsiTheme="minorHAnsi"/>
        </w:rPr>
        <w:t xml:space="preserve"> provisório, da Resolução Camex nº 2, de 16 de janeiro de 2014, aplicável às importações efetuadas de produtor descrito nesta Resolução, emprega-se a alíquota indicada ao produtor, independente do exportador utilizado. Ocorrendo exportação do produto de outro fabricante do país investigado, não prescrito na relação dessa Resolução, aplica-se alíquota dos "Demais Exportadores". DISPOSITIVOS LEGAIS: Resolução Camex nº 02, de 2014 e art. 788, do Decreto nº 6.759, de 2009 (RA/2009). FERNANDO MOMBELLI Coordenador-Geral </w:t>
      </w:r>
    </w:p>
    <w:p w:rsidR="00275136" w:rsidRDefault="00275136" w:rsidP="006234D0">
      <w:pPr>
        <w:pStyle w:val="NormalWeb"/>
        <w:jc w:val="both"/>
        <w:rPr>
          <w:rFonts w:asciiTheme="minorHAnsi" w:hAnsiTheme="minorHAnsi"/>
        </w:rPr>
      </w:pPr>
    </w:p>
    <w:p w:rsidR="00275136" w:rsidRPr="00275136" w:rsidRDefault="009D5826" w:rsidP="00275136">
      <w:pPr>
        <w:pStyle w:val="NormalWeb"/>
        <w:jc w:val="center"/>
        <w:rPr>
          <w:rFonts w:asciiTheme="minorHAnsi" w:hAnsiTheme="minorHAnsi"/>
          <w:b/>
        </w:rPr>
      </w:pPr>
      <w:r w:rsidRPr="00275136">
        <w:rPr>
          <w:rFonts w:asciiTheme="minorHAnsi" w:hAnsiTheme="minorHAnsi"/>
          <w:b/>
        </w:rPr>
        <w:t xml:space="preserve">SOLUÇÃO DE CONSULTA Nº 148, DE 29 DE SETEMBRO DE 2016 </w:t>
      </w:r>
      <w:r w:rsidR="00275136" w:rsidRPr="00275136">
        <w:rPr>
          <w:rFonts w:asciiTheme="minorHAnsi" w:hAnsiTheme="minorHAnsi"/>
          <w:b/>
        </w:rPr>
        <w:t>(DOU 17/11/2016)</w:t>
      </w:r>
    </w:p>
    <w:p w:rsidR="009D5826" w:rsidRPr="006234D0" w:rsidRDefault="009D5826" w:rsidP="006234D0">
      <w:pPr>
        <w:pStyle w:val="NormalWeb"/>
        <w:jc w:val="both"/>
        <w:rPr>
          <w:rFonts w:asciiTheme="minorHAnsi" w:hAnsiTheme="minorHAnsi"/>
        </w:rPr>
      </w:pPr>
      <w:r w:rsidRPr="006234D0">
        <w:rPr>
          <w:rFonts w:asciiTheme="minorHAnsi" w:hAnsiTheme="minorHAnsi"/>
        </w:rPr>
        <w:t xml:space="preserve">ASSUNTO: Imposto sobre a Importação - II EMENTA: FATURA COMERCIAL. REIMPORTAÇÃO. Não será exigida a apresentação da fatura comercial no despacho de </w:t>
      </w:r>
      <w:proofErr w:type="spellStart"/>
      <w:r w:rsidRPr="006234D0">
        <w:rPr>
          <w:rFonts w:asciiTheme="minorHAnsi" w:hAnsiTheme="minorHAnsi"/>
        </w:rPr>
        <w:t>reimportação</w:t>
      </w:r>
      <w:proofErr w:type="spellEnd"/>
      <w:r w:rsidRPr="006234D0">
        <w:rPr>
          <w:rFonts w:asciiTheme="minorHAnsi" w:hAnsiTheme="minorHAnsi"/>
        </w:rPr>
        <w:t xml:space="preserve"> de mercadoria enviada ao exterior em exportação temporária para reparo, permanecendo o mesmo titular quando do seu retorno ao País.</w:t>
      </w:r>
    </w:p>
    <w:p w:rsidR="00B20476" w:rsidRDefault="00B20476" w:rsidP="006234D0">
      <w:pPr>
        <w:pStyle w:val="NormalWeb"/>
        <w:jc w:val="both"/>
        <w:rPr>
          <w:rFonts w:asciiTheme="minorHAnsi" w:hAnsiTheme="minorHAnsi"/>
        </w:rPr>
      </w:pPr>
      <w:r w:rsidRPr="006234D0">
        <w:rPr>
          <w:rFonts w:asciiTheme="minorHAnsi" w:hAnsiTheme="minorHAnsi"/>
        </w:rPr>
        <w:t xml:space="preserve">DISPOSITIVOS LEGAIS: Art. 562, do Decreto nº 6.759, de 5 de fevereiro de 2009, art. 18, § 2º, inciso II, alínea "a", da IN SRF nº 680, de 2 de outubro de 2006, com redação dada </w:t>
      </w:r>
      <w:r w:rsidRPr="006234D0">
        <w:rPr>
          <w:rFonts w:asciiTheme="minorHAnsi" w:hAnsiTheme="minorHAnsi"/>
        </w:rPr>
        <w:lastRenderedPageBreak/>
        <w:t>pelo art. 1º, da IN RFB nº 1.356, de 3 de maio de 2013. FERNANDO MOMBELLI Coordenador-Geral</w:t>
      </w:r>
    </w:p>
    <w:p w:rsidR="00912514" w:rsidRDefault="00912514" w:rsidP="006234D0">
      <w:pPr>
        <w:pStyle w:val="NormalWeb"/>
        <w:jc w:val="both"/>
        <w:rPr>
          <w:rFonts w:asciiTheme="minorHAnsi" w:hAnsiTheme="minorHAnsi"/>
        </w:rPr>
      </w:pPr>
    </w:p>
    <w:p w:rsidR="00912514" w:rsidRPr="00BC4319" w:rsidRDefault="00912514" w:rsidP="00BC4319">
      <w:pPr>
        <w:pStyle w:val="Ttulo1"/>
        <w:pBdr>
          <w:bottom w:val="single" w:sz="12" w:space="0" w:color="EBEDEB"/>
        </w:pBdr>
        <w:shd w:val="clear" w:color="auto" w:fill="FFFFFF"/>
        <w:spacing w:before="0" w:after="300" w:line="540" w:lineRule="atLeast"/>
        <w:jc w:val="center"/>
        <w:rPr>
          <w:rFonts w:ascii="Arial" w:hAnsi="Arial" w:cs="Arial"/>
          <w:b/>
          <w:color w:val="333333"/>
          <w:sz w:val="24"/>
          <w:szCs w:val="24"/>
        </w:rPr>
      </w:pPr>
      <w:r w:rsidRPr="00BC4319">
        <w:rPr>
          <w:rFonts w:ascii="Arial" w:hAnsi="Arial" w:cs="Arial"/>
          <w:b/>
          <w:color w:val="333333"/>
          <w:sz w:val="24"/>
          <w:szCs w:val="24"/>
        </w:rPr>
        <w:t>17/11/2016 - Notícia Siscomex Importação nº 110/2016</w:t>
      </w:r>
    </w:p>
    <w:p w:rsidR="00912514" w:rsidRPr="00BC4319" w:rsidRDefault="00912514" w:rsidP="00BC4319">
      <w:pPr>
        <w:pStyle w:val="NormalWeb"/>
        <w:shd w:val="clear" w:color="auto" w:fill="FFFFFF"/>
        <w:spacing w:before="0" w:beforeAutospacing="0" w:after="135" w:afterAutospacing="0" w:line="270" w:lineRule="atLeast"/>
        <w:jc w:val="both"/>
        <w:rPr>
          <w:rFonts w:ascii="Arial" w:hAnsi="Arial" w:cs="Arial"/>
          <w:sz w:val="20"/>
          <w:szCs w:val="20"/>
        </w:rPr>
      </w:pPr>
      <w:r w:rsidRPr="00BC4319">
        <w:rPr>
          <w:rFonts w:ascii="Arial" w:hAnsi="Arial" w:cs="Arial"/>
          <w:sz w:val="20"/>
          <w:szCs w:val="20"/>
        </w:rPr>
        <w:t>Com base na Portaria Secex nº 23/2011, informamos que a partir do dia 24/11/2016 terá vigência novo tratamento administrativo, com anuência do DECEX delegada ao Banco do Brasil, aplicado às importações dos produtos classificados na NCM 8543.70.99, que passará a estar sujeita ao regime de Licenciamento Automático para fins de monitoramento estatístico e apresentará os seguintes destaques:</w:t>
      </w:r>
    </w:p>
    <w:p w:rsidR="00912514" w:rsidRPr="00BC4319" w:rsidRDefault="00912514" w:rsidP="00BC4319">
      <w:pPr>
        <w:pStyle w:val="NormalWeb"/>
        <w:shd w:val="clear" w:color="auto" w:fill="FFFFFF"/>
        <w:spacing w:before="0" w:beforeAutospacing="0" w:after="135" w:afterAutospacing="0" w:line="270" w:lineRule="atLeast"/>
        <w:jc w:val="both"/>
        <w:rPr>
          <w:rFonts w:ascii="Arial" w:hAnsi="Arial" w:cs="Arial"/>
          <w:sz w:val="20"/>
          <w:szCs w:val="20"/>
        </w:rPr>
      </w:pPr>
      <w:r w:rsidRPr="00BC4319">
        <w:rPr>
          <w:rFonts w:ascii="Arial" w:hAnsi="Arial" w:cs="Arial"/>
          <w:sz w:val="20"/>
          <w:szCs w:val="20"/>
        </w:rPr>
        <w:t>Destaque 001 – Lâmpada LED A60 de 4w a 12w</w:t>
      </w:r>
    </w:p>
    <w:p w:rsidR="00912514" w:rsidRPr="00BC4319" w:rsidRDefault="00912514" w:rsidP="00BC4319">
      <w:pPr>
        <w:pStyle w:val="NormalWeb"/>
        <w:shd w:val="clear" w:color="auto" w:fill="FFFFFF"/>
        <w:spacing w:before="0" w:beforeAutospacing="0" w:after="135" w:afterAutospacing="0" w:line="270" w:lineRule="atLeast"/>
        <w:jc w:val="both"/>
        <w:rPr>
          <w:rFonts w:ascii="Arial" w:hAnsi="Arial" w:cs="Arial"/>
          <w:sz w:val="20"/>
          <w:szCs w:val="20"/>
        </w:rPr>
      </w:pPr>
      <w:r w:rsidRPr="00BC4319">
        <w:rPr>
          <w:rFonts w:ascii="Arial" w:hAnsi="Arial" w:cs="Arial"/>
          <w:sz w:val="20"/>
          <w:szCs w:val="20"/>
        </w:rPr>
        <w:t>Destaque 002 – Lâmpada LED A60 de 13w a 20w</w:t>
      </w:r>
    </w:p>
    <w:p w:rsidR="00912514" w:rsidRPr="00BC4319" w:rsidRDefault="00912514" w:rsidP="00BC4319">
      <w:pPr>
        <w:pStyle w:val="NormalWeb"/>
        <w:shd w:val="clear" w:color="auto" w:fill="FFFFFF"/>
        <w:spacing w:before="0" w:beforeAutospacing="0" w:after="135" w:afterAutospacing="0" w:line="270" w:lineRule="atLeast"/>
        <w:jc w:val="both"/>
        <w:rPr>
          <w:rFonts w:ascii="Arial" w:hAnsi="Arial" w:cs="Arial"/>
          <w:sz w:val="20"/>
          <w:szCs w:val="20"/>
        </w:rPr>
      </w:pPr>
      <w:r w:rsidRPr="00BC4319">
        <w:rPr>
          <w:rFonts w:ascii="Arial" w:hAnsi="Arial" w:cs="Arial"/>
          <w:sz w:val="20"/>
          <w:szCs w:val="20"/>
        </w:rPr>
        <w:t>Destaque 003 – Lâmpada Tubular LED 9w/10w</w:t>
      </w:r>
    </w:p>
    <w:p w:rsidR="00912514" w:rsidRPr="00BC4319" w:rsidRDefault="00912514" w:rsidP="00BC4319">
      <w:pPr>
        <w:pStyle w:val="NormalWeb"/>
        <w:shd w:val="clear" w:color="auto" w:fill="FFFFFF"/>
        <w:spacing w:before="0" w:beforeAutospacing="0" w:after="135" w:afterAutospacing="0" w:line="270" w:lineRule="atLeast"/>
        <w:jc w:val="both"/>
        <w:rPr>
          <w:rFonts w:ascii="Arial" w:hAnsi="Arial" w:cs="Arial"/>
          <w:sz w:val="20"/>
          <w:szCs w:val="20"/>
        </w:rPr>
      </w:pPr>
      <w:r w:rsidRPr="00BC4319">
        <w:rPr>
          <w:rFonts w:ascii="Arial" w:hAnsi="Arial" w:cs="Arial"/>
          <w:sz w:val="20"/>
          <w:szCs w:val="20"/>
        </w:rPr>
        <w:t>Destaque 004 – Lâmpada Tubular LED 18w/20w</w:t>
      </w:r>
    </w:p>
    <w:p w:rsidR="00912514" w:rsidRPr="00BC4319" w:rsidRDefault="00912514" w:rsidP="00BC4319">
      <w:pPr>
        <w:pStyle w:val="NormalWeb"/>
        <w:shd w:val="clear" w:color="auto" w:fill="FFFFFF"/>
        <w:spacing w:before="0" w:beforeAutospacing="0" w:after="135" w:afterAutospacing="0" w:line="270" w:lineRule="atLeast"/>
        <w:jc w:val="both"/>
        <w:rPr>
          <w:rFonts w:ascii="Arial" w:hAnsi="Arial" w:cs="Arial"/>
          <w:sz w:val="20"/>
          <w:szCs w:val="20"/>
        </w:rPr>
      </w:pPr>
      <w:r w:rsidRPr="00BC4319">
        <w:rPr>
          <w:rFonts w:ascii="Arial" w:hAnsi="Arial" w:cs="Arial"/>
          <w:sz w:val="20"/>
          <w:szCs w:val="20"/>
        </w:rPr>
        <w:t>Destaque 005 – Lâmpada Tubular LED 36w/40w</w:t>
      </w:r>
    </w:p>
    <w:p w:rsidR="00912514" w:rsidRPr="00BC4319" w:rsidRDefault="00912514" w:rsidP="00BC4319">
      <w:pPr>
        <w:pStyle w:val="NormalWeb"/>
        <w:shd w:val="clear" w:color="auto" w:fill="FFFFFF"/>
        <w:spacing w:before="0" w:beforeAutospacing="0" w:after="135" w:afterAutospacing="0" w:line="270" w:lineRule="atLeast"/>
        <w:jc w:val="both"/>
        <w:rPr>
          <w:rFonts w:ascii="Arial" w:hAnsi="Arial" w:cs="Arial"/>
          <w:sz w:val="20"/>
          <w:szCs w:val="20"/>
        </w:rPr>
      </w:pPr>
      <w:r w:rsidRPr="00BC4319">
        <w:rPr>
          <w:rFonts w:ascii="Arial" w:hAnsi="Arial" w:cs="Arial"/>
          <w:sz w:val="20"/>
          <w:szCs w:val="20"/>
        </w:rPr>
        <w:t>Destaque 006 – Lâmpada LED de facho luminoso dirigido de 3w a 5w</w:t>
      </w:r>
    </w:p>
    <w:p w:rsidR="00912514" w:rsidRPr="00BC4319" w:rsidRDefault="00912514" w:rsidP="00BC4319">
      <w:pPr>
        <w:pStyle w:val="NormalWeb"/>
        <w:shd w:val="clear" w:color="auto" w:fill="FFFFFF"/>
        <w:spacing w:before="0" w:beforeAutospacing="0" w:after="135" w:afterAutospacing="0" w:line="270" w:lineRule="atLeast"/>
        <w:jc w:val="both"/>
        <w:rPr>
          <w:rFonts w:ascii="Arial" w:hAnsi="Arial" w:cs="Arial"/>
          <w:sz w:val="20"/>
          <w:szCs w:val="20"/>
        </w:rPr>
      </w:pPr>
      <w:r w:rsidRPr="00BC4319">
        <w:rPr>
          <w:rFonts w:ascii="Arial" w:hAnsi="Arial" w:cs="Arial"/>
          <w:sz w:val="20"/>
          <w:szCs w:val="20"/>
        </w:rPr>
        <w:t>Destaque 007 – Lâmpada LED de facho luminoso dirigido de 7w a 10w</w:t>
      </w:r>
    </w:p>
    <w:p w:rsidR="00912514" w:rsidRPr="00BC4319" w:rsidRDefault="00912514" w:rsidP="00BC4319">
      <w:pPr>
        <w:pStyle w:val="NormalWeb"/>
        <w:shd w:val="clear" w:color="auto" w:fill="FFFFFF"/>
        <w:spacing w:before="0" w:beforeAutospacing="0" w:after="135" w:afterAutospacing="0" w:line="270" w:lineRule="atLeast"/>
        <w:jc w:val="both"/>
        <w:rPr>
          <w:rFonts w:ascii="Arial" w:hAnsi="Arial" w:cs="Arial"/>
          <w:sz w:val="20"/>
          <w:szCs w:val="20"/>
        </w:rPr>
      </w:pPr>
      <w:r w:rsidRPr="00BC4319">
        <w:rPr>
          <w:rFonts w:ascii="Arial" w:hAnsi="Arial" w:cs="Arial"/>
          <w:sz w:val="20"/>
          <w:szCs w:val="20"/>
        </w:rPr>
        <w:t>Destaque 999 - Outros</w:t>
      </w:r>
    </w:p>
    <w:p w:rsidR="00912514" w:rsidRPr="00BC4319" w:rsidRDefault="00912514" w:rsidP="00BC4319">
      <w:pPr>
        <w:pStyle w:val="NormalWeb"/>
        <w:shd w:val="clear" w:color="auto" w:fill="FFFFFF"/>
        <w:spacing w:before="0" w:beforeAutospacing="0" w:after="135" w:afterAutospacing="0" w:line="270" w:lineRule="atLeast"/>
        <w:jc w:val="both"/>
        <w:rPr>
          <w:rFonts w:ascii="Arial" w:hAnsi="Arial" w:cs="Arial"/>
          <w:sz w:val="20"/>
          <w:szCs w:val="20"/>
        </w:rPr>
      </w:pPr>
      <w:r w:rsidRPr="00BC4319">
        <w:rPr>
          <w:rFonts w:ascii="Arial" w:hAnsi="Arial" w:cs="Arial"/>
          <w:sz w:val="20"/>
          <w:szCs w:val="20"/>
        </w:rPr>
        <w:t> </w:t>
      </w:r>
    </w:p>
    <w:p w:rsidR="00912514" w:rsidRPr="00BC4319" w:rsidRDefault="00912514" w:rsidP="00BC4319">
      <w:pPr>
        <w:pStyle w:val="NormalWeb"/>
        <w:shd w:val="clear" w:color="auto" w:fill="FFFFFF"/>
        <w:spacing w:before="0" w:beforeAutospacing="0" w:after="135" w:afterAutospacing="0" w:line="270" w:lineRule="atLeast"/>
        <w:jc w:val="both"/>
        <w:rPr>
          <w:rFonts w:ascii="Arial" w:hAnsi="Arial" w:cs="Arial"/>
          <w:sz w:val="20"/>
          <w:szCs w:val="20"/>
        </w:rPr>
      </w:pPr>
      <w:r w:rsidRPr="00BC4319">
        <w:rPr>
          <w:rFonts w:ascii="Arial" w:hAnsi="Arial" w:cs="Arial"/>
          <w:sz w:val="20"/>
          <w:szCs w:val="20"/>
        </w:rPr>
        <w:t>DEPARTAMENTO DE OPERAÇÕES DE COMÉRCIO EXTERIOR</w:t>
      </w:r>
    </w:p>
    <w:p w:rsidR="00912514" w:rsidRPr="006234D0" w:rsidRDefault="00912514" w:rsidP="006234D0">
      <w:pPr>
        <w:pStyle w:val="NormalWeb"/>
        <w:jc w:val="both"/>
        <w:rPr>
          <w:rFonts w:asciiTheme="minorHAnsi" w:hAnsiTheme="minorHAnsi"/>
          <w:b/>
          <w:sz w:val="48"/>
          <w:szCs w:val="48"/>
        </w:rPr>
      </w:pPr>
    </w:p>
    <w:sectPr w:rsidR="00912514" w:rsidRPr="006234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237B"/>
    <w:multiLevelType w:val="multilevel"/>
    <w:tmpl w:val="D4FE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C189F"/>
    <w:multiLevelType w:val="multilevel"/>
    <w:tmpl w:val="A4D8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E09FA"/>
    <w:multiLevelType w:val="multilevel"/>
    <w:tmpl w:val="C1B4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5009DA"/>
    <w:multiLevelType w:val="multilevel"/>
    <w:tmpl w:val="48C0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124DC"/>
    <w:multiLevelType w:val="multilevel"/>
    <w:tmpl w:val="6D52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355254"/>
    <w:multiLevelType w:val="hybridMultilevel"/>
    <w:tmpl w:val="08B20C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976DC9"/>
    <w:multiLevelType w:val="multilevel"/>
    <w:tmpl w:val="22F2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52A2D"/>
    <w:multiLevelType w:val="multilevel"/>
    <w:tmpl w:val="6892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266D6F"/>
    <w:multiLevelType w:val="multilevel"/>
    <w:tmpl w:val="1A4E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B0476C"/>
    <w:multiLevelType w:val="multilevel"/>
    <w:tmpl w:val="6E9E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1A64EA"/>
    <w:multiLevelType w:val="multilevel"/>
    <w:tmpl w:val="57AC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F64965"/>
    <w:multiLevelType w:val="multilevel"/>
    <w:tmpl w:val="B80C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40608"/>
    <w:multiLevelType w:val="multilevel"/>
    <w:tmpl w:val="31FC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4740AC"/>
    <w:multiLevelType w:val="multilevel"/>
    <w:tmpl w:val="9470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160646"/>
    <w:multiLevelType w:val="multilevel"/>
    <w:tmpl w:val="A7C2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47E75"/>
    <w:multiLevelType w:val="multilevel"/>
    <w:tmpl w:val="30DA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486FE4"/>
    <w:multiLevelType w:val="multilevel"/>
    <w:tmpl w:val="BFA2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3E4E02"/>
    <w:multiLevelType w:val="multilevel"/>
    <w:tmpl w:val="D152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59633B"/>
    <w:multiLevelType w:val="multilevel"/>
    <w:tmpl w:val="3D10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E4BAE"/>
    <w:multiLevelType w:val="multilevel"/>
    <w:tmpl w:val="2648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847344"/>
    <w:multiLevelType w:val="hybridMultilevel"/>
    <w:tmpl w:val="8BB087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6A72945"/>
    <w:multiLevelType w:val="multilevel"/>
    <w:tmpl w:val="D3DC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3B4FAB"/>
    <w:multiLevelType w:val="hybridMultilevel"/>
    <w:tmpl w:val="F730B5EC"/>
    <w:lvl w:ilvl="0" w:tplc="00C26108">
      <w:start w:val="1"/>
      <w:numFmt w:val="upperLetter"/>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39A7207"/>
    <w:multiLevelType w:val="hybridMultilevel"/>
    <w:tmpl w:val="CE4A7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4254862"/>
    <w:multiLevelType w:val="multilevel"/>
    <w:tmpl w:val="179A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5F5A38"/>
    <w:multiLevelType w:val="multilevel"/>
    <w:tmpl w:val="AFE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510A72"/>
    <w:multiLevelType w:val="multilevel"/>
    <w:tmpl w:val="D3A6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B0227D"/>
    <w:multiLevelType w:val="multilevel"/>
    <w:tmpl w:val="B1E6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EA7860"/>
    <w:multiLevelType w:val="multilevel"/>
    <w:tmpl w:val="8350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7F454D"/>
    <w:multiLevelType w:val="multilevel"/>
    <w:tmpl w:val="C6D8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F64719"/>
    <w:multiLevelType w:val="multilevel"/>
    <w:tmpl w:val="B584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F7409A"/>
    <w:multiLevelType w:val="multilevel"/>
    <w:tmpl w:val="2CCC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4C6C15"/>
    <w:multiLevelType w:val="multilevel"/>
    <w:tmpl w:val="47FC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D462AD"/>
    <w:multiLevelType w:val="multilevel"/>
    <w:tmpl w:val="9986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9F2C5D"/>
    <w:multiLevelType w:val="multilevel"/>
    <w:tmpl w:val="6FD4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D24ED1"/>
    <w:multiLevelType w:val="multilevel"/>
    <w:tmpl w:val="F380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4C7EF8"/>
    <w:multiLevelType w:val="multilevel"/>
    <w:tmpl w:val="A782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8C0363"/>
    <w:multiLevelType w:val="multilevel"/>
    <w:tmpl w:val="3582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6D3B89"/>
    <w:multiLevelType w:val="multilevel"/>
    <w:tmpl w:val="7286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E442CA"/>
    <w:multiLevelType w:val="multilevel"/>
    <w:tmpl w:val="175A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345AB8"/>
    <w:multiLevelType w:val="multilevel"/>
    <w:tmpl w:val="2218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FB13BA"/>
    <w:multiLevelType w:val="hybridMultilevel"/>
    <w:tmpl w:val="24F061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36"/>
  </w:num>
  <w:num w:numId="3">
    <w:abstractNumId w:val="13"/>
  </w:num>
  <w:num w:numId="4">
    <w:abstractNumId w:val="37"/>
  </w:num>
  <w:num w:numId="5">
    <w:abstractNumId w:val="39"/>
  </w:num>
  <w:num w:numId="6">
    <w:abstractNumId w:val="40"/>
  </w:num>
  <w:num w:numId="7">
    <w:abstractNumId w:val="15"/>
  </w:num>
  <w:num w:numId="8">
    <w:abstractNumId w:val="32"/>
  </w:num>
  <w:num w:numId="9">
    <w:abstractNumId w:val="26"/>
  </w:num>
  <w:num w:numId="10">
    <w:abstractNumId w:val="8"/>
  </w:num>
  <w:num w:numId="11">
    <w:abstractNumId w:val="24"/>
  </w:num>
  <w:num w:numId="12">
    <w:abstractNumId w:val="7"/>
  </w:num>
  <w:num w:numId="13">
    <w:abstractNumId w:val="27"/>
  </w:num>
  <w:num w:numId="14">
    <w:abstractNumId w:val="25"/>
  </w:num>
  <w:num w:numId="15">
    <w:abstractNumId w:val="22"/>
  </w:num>
  <w:num w:numId="16">
    <w:abstractNumId w:val="41"/>
  </w:num>
  <w:num w:numId="17">
    <w:abstractNumId w:val="11"/>
  </w:num>
  <w:num w:numId="18">
    <w:abstractNumId w:val="10"/>
  </w:num>
  <w:num w:numId="19">
    <w:abstractNumId w:val="9"/>
  </w:num>
  <w:num w:numId="20">
    <w:abstractNumId w:val="29"/>
  </w:num>
  <w:num w:numId="21">
    <w:abstractNumId w:val="21"/>
  </w:num>
  <w:num w:numId="22">
    <w:abstractNumId w:val="3"/>
  </w:num>
  <w:num w:numId="23">
    <w:abstractNumId w:val="30"/>
  </w:num>
  <w:num w:numId="24">
    <w:abstractNumId w:val="4"/>
  </w:num>
  <w:num w:numId="25">
    <w:abstractNumId w:val="2"/>
  </w:num>
  <w:num w:numId="26">
    <w:abstractNumId w:val="18"/>
  </w:num>
  <w:num w:numId="27">
    <w:abstractNumId w:val="33"/>
  </w:num>
  <w:num w:numId="28">
    <w:abstractNumId w:val="0"/>
  </w:num>
  <w:num w:numId="29">
    <w:abstractNumId w:val="1"/>
  </w:num>
  <w:num w:numId="30">
    <w:abstractNumId w:val="34"/>
  </w:num>
  <w:num w:numId="31">
    <w:abstractNumId w:val="35"/>
  </w:num>
  <w:num w:numId="32">
    <w:abstractNumId w:val="19"/>
  </w:num>
  <w:num w:numId="33">
    <w:abstractNumId w:val="12"/>
  </w:num>
  <w:num w:numId="34">
    <w:abstractNumId w:val="17"/>
  </w:num>
  <w:num w:numId="35">
    <w:abstractNumId w:val="38"/>
  </w:num>
  <w:num w:numId="36">
    <w:abstractNumId w:val="6"/>
  </w:num>
  <w:num w:numId="37">
    <w:abstractNumId w:val="31"/>
  </w:num>
  <w:num w:numId="38">
    <w:abstractNumId w:val="20"/>
  </w:num>
  <w:num w:numId="39">
    <w:abstractNumId w:val="5"/>
  </w:num>
  <w:num w:numId="40">
    <w:abstractNumId w:val="23"/>
  </w:num>
  <w:num w:numId="41">
    <w:abstractNumId w:val="28"/>
  </w:num>
  <w:num w:numId="4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BE7"/>
    <w:rsid w:val="00002A6F"/>
    <w:rsid w:val="00004B15"/>
    <w:rsid w:val="0000512F"/>
    <w:rsid w:val="00005B29"/>
    <w:rsid w:val="0001108A"/>
    <w:rsid w:val="0001251A"/>
    <w:rsid w:val="00012B21"/>
    <w:rsid w:val="00013811"/>
    <w:rsid w:val="00015C20"/>
    <w:rsid w:val="00016135"/>
    <w:rsid w:val="0001678C"/>
    <w:rsid w:val="00017BD3"/>
    <w:rsid w:val="00020866"/>
    <w:rsid w:val="00021331"/>
    <w:rsid w:val="00024F20"/>
    <w:rsid w:val="00025327"/>
    <w:rsid w:val="000279B6"/>
    <w:rsid w:val="00032A4E"/>
    <w:rsid w:val="00032D55"/>
    <w:rsid w:val="000337A1"/>
    <w:rsid w:val="00034693"/>
    <w:rsid w:val="0003514E"/>
    <w:rsid w:val="0003602A"/>
    <w:rsid w:val="00036369"/>
    <w:rsid w:val="00036AC2"/>
    <w:rsid w:val="00040EBB"/>
    <w:rsid w:val="000415A8"/>
    <w:rsid w:val="00041749"/>
    <w:rsid w:val="00044473"/>
    <w:rsid w:val="000448D8"/>
    <w:rsid w:val="00045A2C"/>
    <w:rsid w:val="00045A2D"/>
    <w:rsid w:val="0005055A"/>
    <w:rsid w:val="000506ED"/>
    <w:rsid w:val="00052CDE"/>
    <w:rsid w:val="00053AEB"/>
    <w:rsid w:val="000541B0"/>
    <w:rsid w:val="00054642"/>
    <w:rsid w:val="00055BC7"/>
    <w:rsid w:val="00057293"/>
    <w:rsid w:val="0006174F"/>
    <w:rsid w:val="00063E47"/>
    <w:rsid w:val="00064A50"/>
    <w:rsid w:val="000663F4"/>
    <w:rsid w:val="00067A26"/>
    <w:rsid w:val="000718DC"/>
    <w:rsid w:val="00071DA3"/>
    <w:rsid w:val="00072BA9"/>
    <w:rsid w:val="000734A7"/>
    <w:rsid w:val="00074D10"/>
    <w:rsid w:val="0007536D"/>
    <w:rsid w:val="0007602A"/>
    <w:rsid w:val="00076260"/>
    <w:rsid w:val="00077512"/>
    <w:rsid w:val="0008024D"/>
    <w:rsid w:val="00081751"/>
    <w:rsid w:val="000841D6"/>
    <w:rsid w:val="000845B0"/>
    <w:rsid w:val="0008464F"/>
    <w:rsid w:val="00084AC0"/>
    <w:rsid w:val="00084C63"/>
    <w:rsid w:val="000860BD"/>
    <w:rsid w:val="00086921"/>
    <w:rsid w:val="000870A4"/>
    <w:rsid w:val="00092806"/>
    <w:rsid w:val="00092914"/>
    <w:rsid w:val="00092AB0"/>
    <w:rsid w:val="00092E14"/>
    <w:rsid w:val="00096A85"/>
    <w:rsid w:val="000A04EC"/>
    <w:rsid w:val="000A2521"/>
    <w:rsid w:val="000A2C01"/>
    <w:rsid w:val="000A30E8"/>
    <w:rsid w:val="000A3E7D"/>
    <w:rsid w:val="000B0FA7"/>
    <w:rsid w:val="000B4CBB"/>
    <w:rsid w:val="000B4F81"/>
    <w:rsid w:val="000B5BC9"/>
    <w:rsid w:val="000B67C2"/>
    <w:rsid w:val="000B716C"/>
    <w:rsid w:val="000B7F42"/>
    <w:rsid w:val="000C0F3C"/>
    <w:rsid w:val="000C186B"/>
    <w:rsid w:val="000C1A71"/>
    <w:rsid w:val="000C5931"/>
    <w:rsid w:val="000C60C3"/>
    <w:rsid w:val="000C70CA"/>
    <w:rsid w:val="000C7A6B"/>
    <w:rsid w:val="000D0C75"/>
    <w:rsid w:val="000D0D83"/>
    <w:rsid w:val="000D187E"/>
    <w:rsid w:val="000D34EE"/>
    <w:rsid w:val="000D3884"/>
    <w:rsid w:val="000D3DD1"/>
    <w:rsid w:val="000D48AF"/>
    <w:rsid w:val="000D644C"/>
    <w:rsid w:val="000D703A"/>
    <w:rsid w:val="000E06A5"/>
    <w:rsid w:val="000E0ABC"/>
    <w:rsid w:val="000E10BA"/>
    <w:rsid w:val="000E1A13"/>
    <w:rsid w:val="000E54B7"/>
    <w:rsid w:val="000F0372"/>
    <w:rsid w:val="000F6DC7"/>
    <w:rsid w:val="000F7E0F"/>
    <w:rsid w:val="001004F6"/>
    <w:rsid w:val="00102F1F"/>
    <w:rsid w:val="00103657"/>
    <w:rsid w:val="00104306"/>
    <w:rsid w:val="001106FB"/>
    <w:rsid w:val="00110D23"/>
    <w:rsid w:val="0011215E"/>
    <w:rsid w:val="00112C0D"/>
    <w:rsid w:val="00115623"/>
    <w:rsid w:val="00115FC2"/>
    <w:rsid w:val="001163E7"/>
    <w:rsid w:val="00116ABE"/>
    <w:rsid w:val="0011735B"/>
    <w:rsid w:val="001231BD"/>
    <w:rsid w:val="00124BDC"/>
    <w:rsid w:val="00130430"/>
    <w:rsid w:val="00130B81"/>
    <w:rsid w:val="001310D7"/>
    <w:rsid w:val="001313B8"/>
    <w:rsid w:val="001316AC"/>
    <w:rsid w:val="00133293"/>
    <w:rsid w:val="00133F1F"/>
    <w:rsid w:val="00134720"/>
    <w:rsid w:val="00135242"/>
    <w:rsid w:val="00136685"/>
    <w:rsid w:val="0013735D"/>
    <w:rsid w:val="001379C5"/>
    <w:rsid w:val="00137CCE"/>
    <w:rsid w:val="00142624"/>
    <w:rsid w:val="001434D6"/>
    <w:rsid w:val="00146851"/>
    <w:rsid w:val="00147919"/>
    <w:rsid w:val="00151811"/>
    <w:rsid w:val="001544EE"/>
    <w:rsid w:val="00155681"/>
    <w:rsid w:val="0015568D"/>
    <w:rsid w:val="00156D41"/>
    <w:rsid w:val="00157345"/>
    <w:rsid w:val="0016014A"/>
    <w:rsid w:val="0016074C"/>
    <w:rsid w:val="0016093F"/>
    <w:rsid w:val="0016149B"/>
    <w:rsid w:val="00162BF3"/>
    <w:rsid w:val="00162E78"/>
    <w:rsid w:val="0016736F"/>
    <w:rsid w:val="00170787"/>
    <w:rsid w:val="00171255"/>
    <w:rsid w:val="00171629"/>
    <w:rsid w:val="00173125"/>
    <w:rsid w:val="001801FD"/>
    <w:rsid w:val="00180816"/>
    <w:rsid w:val="001816A5"/>
    <w:rsid w:val="00182DAA"/>
    <w:rsid w:val="0018381C"/>
    <w:rsid w:val="00184CCD"/>
    <w:rsid w:val="00185DD5"/>
    <w:rsid w:val="00186CE3"/>
    <w:rsid w:val="00190C12"/>
    <w:rsid w:val="00194327"/>
    <w:rsid w:val="001949CA"/>
    <w:rsid w:val="00196031"/>
    <w:rsid w:val="00197EB5"/>
    <w:rsid w:val="001A12AF"/>
    <w:rsid w:val="001A1E86"/>
    <w:rsid w:val="001A3A9A"/>
    <w:rsid w:val="001A531B"/>
    <w:rsid w:val="001A59EA"/>
    <w:rsid w:val="001A5C8E"/>
    <w:rsid w:val="001A6EC5"/>
    <w:rsid w:val="001B0920"/>
    <w:rsid w:val="001B3167"/>
    <w:rsid w:val="001B4E18"/>
    <w:rsid w:val="001B682F"/>
    <w:rsid w:val="001C02A2"/>
    <w:rsid w:val="001C0DE4"/>
    <w:rsid w:val="001C15CD"/>
    <w:rsid w:val="001C1AD3"/>
    <w:rsid w:val="001C25F3"/>
    <w:rsid w:val="001C2EB2"/>
    <w:rsid w:val="001C4C10"/>
    <w:rsid w:val="001C54D1"/>
    <w:rsid w:val="001D0B33"/>
    <w:rsid w:val="001D1EB9"/>
    <w:rsid w:val="001D3981"/>
    <w:rsid w:val="001D4272"/>
    <w:rsid w:val="001D4324"/>
    <w:rsid w:val="001D4EBB"/>
    <w:rsid w:val="001D575E"/>
    <w:rsid w:val="001D7850"/>
    <w:rsid w:val="001E0B61"/>
    <w:rsid w:val="001E17C6"/>
    <w:rsid w:val="001E3D29"/>
    <w:rsid w:val="001E4B67"/>
    <w:rsid w:val="001E6F87"/>
    <w:rsid w:val="001E79CA"/>
    <w:rsid w:val="001E7CA4"/>
    <w:rsid w:val="001E7D99"/>
    <w:rsid w:val="001F2EFA"/>
    <w:rsid w:val="001F32C7"/>
    <w:rsid w:val="001F33AF"/>
    <w:rsid w:val="001F46D7"/>
    <w:rsid w:val="001F52DB"/>
    <w:rsid w:val="001F5813"/>
    <w:rsid w:val="001F583F"/>
    <w:rsid w:val="001F7895"/>
    <w:rsid w:val="001F7B61"/>
    <w:rsid w:val="0020033C"/>
    <w:rsid w:val="002006C0"/>
    <w:rsid w:val="00200EF5"/>
    <w:rsid w:val="0020241B"/>
    <w:rsid w:val="00203447"/>
    <w:rsid w:val="002040BF"/>
    <w:rsid w:val="002041D2"/>
    <w:rsid w:val="002043F1"/>
    <w:rsid w:val="00204463"/>
    <w:rsid w:val="0020471B"/>
    <w:rsid w:val="00206C80"/>
    <w:rsid w:val="002108C9"/>
    <w:rsid w:val="002109A4"/>
    <w:rsid w:val="00210E56"/>
    <w:rsid w:val="00210EAD"/>
    <w:rsid w:val="00211ACF"/>
    <w:rsid w:val="00212554"/>
    <w:rsid w:val="00212B40"/>
    <w:rsid w:val="00214E39"/>
    <w:rsid w:val="00214FA4"/>
    <w:rsid w:val="00217D34"/>
    <w:rsid w:val="002214EB"/>
    <w:rsid w:val="00221D25"/>
    <w:rsid w:val="00221E1C"/>
    <w:rsid w:val="00222AA1"/>
    <w:rsid w:val="00223FA9"/>
    <w:rsid w:val="00224EDF"/>
    <w:rsid w:val="00225884"/>
    <w:rsid w:val="0022604D"/>
    <w:rsid w:val="00226122"/>
    <w:rsid w:val="002305C1"/>
    <w:rsid w:val="002316E4"/>
    <w:rsid w:val="00233511"/>
    <w:rsid w:val="00234E59"/>
    <w:rsid w:val="002370CF"/>
    <w:rsid w:val="00240F16"/>
    <w:rsid w:val="0024504D"/>
    <w:rsid w:val="00245A55"/>
    <w:rsid w:val="0024649A"/>
    <w:rsid w:val="00246D01"/>
    <w:rsid w:val="00246E49"/>
    <w:rsid w:val="00250756"/>
    <w:rsid w:val="00250AB8"/>
    <w:rsid w:val="00251B08"/>
    <w:rsid w:val="00252835"/>
    <w:rsid w:val="002528C1"/>
    <w:rsid w:val="00253560"/>
    <w:rsid w:val="00253DA5"/>
    <w:rsid w:val="00253DB9"/>
    <w:rsid w:val="00262A23"/>
    <w:rsid w:val="00263F01"/>
    <w:rsid w:val="002648AB"/>
    <w:rsid w:val="002659FB"/>
    <w:rsid w:val="0026685B"/>
    <w:rsid w:val="00266F6D"/>
    <w:rsid w:val="002673B0"/>
    <w:rsid w:val="0027031D"/>
    <w:rsid w:val="00270634"/>
    <w:rsid w:val="00270DF3"/>
    <w:rsid w:val="00275136"/>
    <w:rsid w:val="00280099"/>
    <w:rsid w:val="00282507"/>
    <w:rsid w:val="00282704"/>
    <w:rsid w:val="00282BFC"/>
    <w:rsid w:val="00284FDA"/>
    <w:rsid w:val="00285C89"/>
    <w:rsid w:val="00286A80"/>
    <w:rsid w:val="002875DE"/>
    <w:rsid w:val="00287674"/>
    <w:rsid w:val="00290581"/>
    <w:rsid w:val="00290C88"/>
    <w:rsid w:val="00291E31"/>
    <w:rsid w:val="00293967"/>
    <w:rsid w:val="00294F87"/>
    <w:rsid w:val="002A0E40"/>
    <w:rsid w:val="002A6A9A"/>
    <w:rsid w:val="002A7750"/>
    <w:rsid w:val="002A7BD3"/>
    <w:rsid w:val="002B13E0"/>
    <w:rsid w:val="002B2F0B"/>
    <w:rsid w:val="002B3644"/>
    <w:rsid w:val="002B511C"/>
    <w:rsid w:val="002B5A98"/>
    <w:rsid w:val="002B5C1E"/>
    <w:rsid w:val="002B7D2F"/>
    <w:rsid w:val="002B7F96"/>
    <w:rsid w:val="002C028C"/>
    <w:rsid w:val="002C0597"/>
    <w:rsid w:val="002C20EC"/>
    <w:rsid w:val="002C219E"/>
    <w:rsid w:val="002C7361"/>
    <w:rsid w:val="002D0B1B"/>
    <w:rsid w:val="002D0EC6"/>
    <w:rsid w:val="002D32DB"/>
    <w:rsid w:val="002D344A"/>
    <w:rsid w:val="002D346F"/>
    <w:rsid w:val="002D4DF3"/>
    <w:rsid w:val="002D4E58"/>
    <w:rsid w:val="002D5E2D"/>
    <w:rsid w:val="002D6B66"/>
    <w:rsid w:val="002D6BED"/>
    <w:rsid w:val="002D7422"/>
    <w:rsid w:val="002D7D1B"/>
    <w:rsid w:val="002E2758"/>
    <w:rsid w:val="002E319E"/>
    <w:rsid w:val="002E4316"/>
    <w:rsid w:val="002E4968"/>
    <w:rsid w:val="002E4D1C"/>
    <w:rsid w:val="002E541E"/>
    <w:rsid w:val="002E594E"/>
    <w:rsid w:val="002E793A"/>
    <w:rsid w:val="002F03F9"/>
    <w:rsid w:val="002F2F70"/>
    <w:rsid w:val="002F3AC2"/>
    <w:rsid w:val="002F3D75"/>
    <w:rsid w:val="002F44DE"/>
    <w:rsid w:val="002F5214"/>
    <w:rsid w:val="002F605E"/>
    <w:rsid w:val="002F6528"/>
    <w:rsid w:val="00303BB0"/>
    <w:rsid w:val="003044A0"/>
    <w:rsid w:val="0030464F"/>
    <w:rsid w:val="0030563E"/>
    <w:rsid w:val="00305A00"/>
    <w:rsid w:val="00305C35"/>
    <w:rsid w:val="003063A7"/>
    <w:rsid w:val="00306A27"/>
    <w:rsid w:val="00307690"/>
    <w:rsid w:val="00307896"/>
    <w:rsid w:val="00307D10"/>
    <w:rsid w:val="00310D92"/>
    <w:rsid w:val="003122DB"/>
    <w:rsid w:val="00312351"/>
    <w:rsid w:val="0031567B"/>
    <w:rsid w:val="00316733"/>
    <w:rsid w:val="0031729D"/>
    <w:rsid w:val="00320083"/>
    <w:rsid w:val="00324B83"/>
    <w:rsid w:val="00324BE0"/>
    <w:rsid w:val="00326DB4"/>
    <w:rsid w:val="003311E0"/>
    <w:rsid w:val="00332016"/>
    <w:rsid w:val="003322DC"/>
    <w:rsid w:val="00332C50"/>
    <w:rsid w:val="00332E27"/>
    <w:rsid w:val="003336D2"/>
    <w:rsid w:val="00333F25"/>
    <w:rsid w:val="0033424E"/>
    <w:rsid w:val="00335839"/>
    <w:rsid w:val="00335CEA"/>
    <w:rsid w:val="003372B7"/>
    <w:rsid w:val="0034090F"/>
    <w:rsid w:val="00345886"/>
    <w:rsid w:val="00345D7F"/>
    <w:rsid w:val="003462F4"/>
    <w:rsid w:val="00346902"/>
    <w:rsid w:val="003478CA"/>
    <w:rsid w:val="00351728"/>
    <w:rsid w:val="00352036"/>
    <w:rsid w:val="0035562C"/>
    <w:rsid w:val="00355861"/>
    <w:rsid w:val="00356C2B"/>
    <w:rsid w:val="00357206"/>
    <w:rsid w:val="003609C5"/>
    <w:rsid w:val="003613AA"/>
    <w:rsid w:val="00364B89"/>
    <w:rsid w:val="00365AD8"/>
    <w:rsid w:val="003678E4"/>
    <w:rsid w:val="0037113A"/>
    <w:rsid w:val="00371B12"/>
    <w:rsid w:val="00380973"/>
    <w:rsid w:val="003810FE"/>
    <w:rsid w:val="00385658"/>
    <w:rsid w:val="003858D7"/>
    <w:rsid w:val="00385A7B"/>
    <w:rsid w:val="00385B74"/>
    <w:rsid w:val="00385F93"/>
    <w:rsid w:val="00386FAF"/>
    <w:rsid w:val="003905B0"/>
    <w:rsid w:val="00391E4C"/>
    <w:rsid w:val="00393A54"/>
    <w:rsid w:val="00396E6B"/>
    <w:rsid w:val="00397F80"/>
    <w:rsid w:val="003A0DA1"/>
    <w:rsid w:val="003A19EF"/>
    <w:rsid w:val="003A2FBE"/>
    <w:rsid w:val="003A5E2E"/>
    <w:rsid w:val="003A5F6A"/>
    <w:rsid w:val="003A6C68"/>
    <w:rsid w:val="003A7E6C"/>
    <w:rsid w:val="003B0282"/>
    <w:rsid w:val="003B12CF"/>
    <w:rsid w:val="003B2592"/>
    <w:rsid w:val="003B26A4"/>
    <w:rsid w:val="003B347A"/>
    <w:rsid w:val="003B53FC"/>
    <w:rsid w:val="003B6337"/>
    <w:rsid w:val="003B7376"/>
    <w:rsid w:val="003B7614"/>
    <w:rsid w:val="003C09B2"/>
    <w:rsid w:val="003C0C85"/>
    <w:rsid w:val="003C1F05"/>
    <w:rsid w:val="003C2147"/>
    <w:rsid w:val="003C5329"/>
    <w:rsid w:val="003C6BC1"/>
    <w:rsid w:val="003D10AB"/>
    <w:rsid w:val="003D1898"/>
    <w:rsid w:val="003D2400"/>
    <w:rsid w:val="003D6C40"/>
    <w:rsid w:val="003D6DF7"/>
    <w:rsid w:val="003E171C"/>
    <w:rsid w:val="003E1B94"/>
    <w:rsid w:val="003E3038"/>
    <w:rsid w:val="003E31B5"/>
    <w:rsid w:val="003E3436"/>
    <w:rsid w:val="003E3746"/>
    <w:rsid w:val="003E3C83"/>
    <w:rsid w:val="003E5006"/>
    <w:rsid w:val="003E6E8B"/>
    <w:rsid w:val="003F0583"/>
    <w:rsid w:val="003F0E20"/>
    <w:rsid w:val="003F1C00"/>
    <w:rsid w:val="003F30E5"/>
    <w:rsid w:val="003F3437"/>
    <w:rsid w:val="003F41B0"/>
    <w:rsid w:val="003F47C1"/>
    <w:rsid w:val="003F5A7B"/>
    <w:rsid w:val="003F6B0A"/>
    <w:rsid w:val="003F7E9F"/>
    <w:rsid w:val="004018E6"/>
    <w:rsid w:val="00402CDA"/>
    <w:rsid w:val="004036A4"/>
    <w:rsid w:val="004052EF"/>
    <w:rsid w:val="00407DE0"/>
    <w:rsid w:val="00411CC3"/>
    <w:rsid w:val="004144EC"/>
    <w:rsid w:val="004146C0"/>
    <w:rsid w:val="00415EBB"/>
    <w:rsid w:val="004177A5"/>
    <w:rsid w:val="00422937"/>
    <w:rsid w:val="004233E2"/>
    <w:rsid w:val="004237C9"/>
    <w:rsid w:val="004242AB"/>
    <w:rsid w:val="004248B5"/>
    <w:rsid w:val="0042493E"/>
    <w:rsid w:val="0042607E"/>
    <w:rsid w:val="00427821"/>
    <w:rsid w:val="004303DE"/>
    <w:rsid w:val="00431C52"/>
    <w:rsid w:val="004321CA"/>
    <w:rsid w:val="00432566"/>
    <w:rsid w:val="004343F9"/>
    <w:rsid w:val="00436335"/>
    <w:rsid w:val="0043640F"/>
    <w:rsid w:val="00442F34"/>
    <w:rsid w:val="00452AF7"/>
    <w:rsid w:val="00454548"/>
    <w:rsid w:val="004548EE"/>
    <w:rsid w:val="004553D1"/>
    <w:rsid w:val="00461130"/>
    <w:rsid w:val="00461362"/>
    <w:rsid w:val="00461A63"/>
    <w:rsid w:val="00461ABF"/>
    <w:rsid w:val="00461BC9"/>
    <w:rsid w:val="00464721"/>
    <w:rsid w:val="00465039"/>
    <w:rsid w:val="00465238"/>
    <w:rsid w:val="004653AB"/>
    <w:rsid w:val="00465B15"/>
    <w:rsid w:val="0047180A"/>
    <w:rsid w:val="00472305"/>
    <w:rsid w:val="004731AB"/>
    <w:rsid w:val="00473B3E"/>
    <w:rsid w:val="00475A52"/>
    <w:rsid w:val="004775E0"/>
    <w:rsid w:val="00480E92"/>
    <w:rsid w:val="00483B41"/>
    <w:rsid w:val="00485869"/>
    <w:rsid w:val="004904E9"/>
    <w:rsid w:val="0049295B"/>
    <w:rsid w:val="00492BC5"/>
    <w:rsid w:val="00492DE4"/>
    <w:rsid w:val="0049447C"/>
    <w:rsid w:val="00494C8F"/>
    <w:rsid w:val="004967BC"/>
    <w:rsid w:val="004976FD"/>
    <w:rsid w:val="004A1BB7"/>
    <w:rsid w:val="004A1F51"/>
    <w:rsid w:val="004A408F"/>
    <w:rsid w:val="004A410A"/>
    <w:rsid w:val="004A4745"/>
    <w:rsid w:val="004A5AE8"/>
    <w:rsid w:val="004A635E"/>
    <w:rsid w:val="004B01B8"/>
    <w:rsid w:val="004B196B"/>
    <w:rsid w:val="004B2D83"/>
    <w:rsid w:val="004C0E2E"/>
    <w:rsid w:val="004C27C8"/>
    <w:rsid w:val="004C2B45"/>
    <w:rsid w:val="004C3F67"/>
    <w:rsid w:val="004C4923"/>
    <w:rsid w:val="004C583E"/>
    <w:rsid w:val="004C6AB1"/>
    <w:rsid w:val="004C6D55"/>
    <w:rsid w:val="004D0D9E"/>
    <w:rsid w:val="004D1170"/>
    <w:rsid w:val="004D2B1B"/>
    <w:rsid w:val="004D3449"/>
    <w:rsid w:val="004D46E8"/>
    <w:rsid w:val="004D47BF"/>
    <w:rsid w:val="004D6C9F"/>
    <w:rsid w:val="004D70D8"/>
    <w:rsid w:val="004E064C"/>
    <w:rsid w:val="004E2BBA"/>
    <w:rsid w:val="004E5D1C"/>
    <w:rsid w:val="004E7C56"/>
    <w:rsid w:val="004F4F21"/>
    <w:rsid w:val="004F50DC"/>
    <w:rsid w:val="004F5EA7"/>
    <w:rsid w:val="004F7761"/>
    <w:rsid w:val="00502F12"/>
    <w:rsid w:val="0050310A"/>
    <w:rsid w:val="00503727"/>
    <w:rsid w:val="00505221"/>
    <w:rsid w:val="005057CA"/>
    <w:rsid w:val="00511509"/>
    <w:rsid w:val="0051211B"/>
    <w:rsid w:val="005126ED"/>
    <w:rsid w:val="00512A8C"/>
    <w:rsid w:val="005143BF"/>
    <w:rsid w:val="00515F36"/>
    <w:rsid w:val="00522A64"/>
    <w:rsid w:val="00525021"/>
    <w:rsid w:val="00525A0D"/>
    <w:rsid w:val="0052623F"/>
    <w:rsid w:val="005262D1"/>
    <w:rsid w:val="00527255"/>
    <w:rsid w:val="00531014"/>
    <w:rsid w:val="00532C1F"/>
    <w:rsid w:val="0053318C"/>
    <w:rsid w:val="00535B88"/>
    <w:rsid w:val="0053692C"/>
    <w:rsid w:val="0053731D"/>
    <w:rsid w:val="00537E6C"/>
    <w:rsid w:val="00540798"/>
    <w:rsid w:val="00541FA4"/>
    <w:rsid w:val="005426E5"/>
    <w:rsid w:val="005428A9"/>
    <w:rsid w:val="00545475"/>
    <w:rsid w:val="0054573D"/>
    <w:rsid w:val="005457A6"/>
    <w:rsid w:val="00546559"/>
    <w:rsid w:val="00551B07"/>
    <w:rsid w:val="00554710"/>
    <w:rsid w:val="0055689F"/>
    <w:rsid w:val="0055692E"/>
    <w:rsid w:val="00561CB2"/>
    <w:rsid w:val="005629A2"/>
    <w:rsid w:val="005642D9"/>
    <w:rsid w:val="00564567"/>
    <w:rsid w:val="00564C3C"/>
    <w:rsid w:val="005665E4"/>
    <w:rsid w:val="00567201"/>
    <w:rsid w:val="005679AF"/>
    <w:rsid w:val="00571392"/>
    <w:rsid w:val="00571646"/>
    <w:rsid w:val="0057272A"/>
    <w:rsid w:val="00574F37"/>
    <w:rsid w:val="005763E2"/>
    <w:rsid w:val="00576E56"/>
    <w:rsid w:val="005777BD"/>
    <w:rsid w:val="005779AF"/>
    <w:rsid w:val="00581D13"/>
    <w:rsid w:val="00582DD5"/>
    <w:rsid w:val="00586E43"/>
    <w:rsid w:val="0058732F"/>
    <w:rsid w:val="00587889"/>
    <w:rsid w:val="005901C4"/>
    <w:rsid w:val="00590A8D"/>
    <w:rsid w:val="00590FEC"/>
    <w:rsid w:val="00591083"/>
    <w:rsid w:val="00592AFA"/>
    <w:rsid w:val="005932D7"/>
    <w:rsid w:val="0059368D"/>
    <w:rsid w:val="0059580B"/>
    <w:rsid w:val="00595C70"/>
    <w:rsid w:val="005979FF"/>
    <w:rsid w:val="005A3EA5"/>
    <w:rsid w:val="005A7B62"/>
    <w:rsid w:val="005A7D2D"/>
    <w:rsid w:val="005B01A0"/>
    <w:rsid w:val="005B1EB5"/>
    <w:rsid w:val="005B51CE"/>
    <w:rsid w:val="005B5E30"/>
    <w:rsid w:val="005B66E0"/>
    <w:rsid w:val="005B67E4"/>
    <w:rsid w:val="005B77B1"/>
    <w:rsid w:val="005C0805"/>
    <w:rsid w:val="005C15B6"/>
    <w:rsid w:val="005C32E1"/>
    <w:rsid w:val="005C332A"/>
    <w:rsid w:val="005C35C2"/>
    <w:rsid w:val="005C3CEB"/>
    <w:rsid w:val="005C50AA"/>
    <w:rsid w:val="005C5167"/>
    <w:rsid w:val="005C5AF0"/>
    <w:rsid w:val="005C64AC"/>
    <w:rsid w:val="005C76DA"/>
    <w:rsid w:val="005D12FA"/>
    <w:rsid w:val="005D290B"/>
    <w:rsid w:val="005D47B9"/>
    <w:rsid w:val="005D5994"/>
    <w:rsid w:val="005D7239"/>
    <w:rsid w:val="005E010B"/>
    <w:rsid w:val="005E0825"/>
    <w:rsid w:val="005E0A2C"/>
    <w:rsid w:val="005E14EE"/>
    <w:rsid w:val="005E17E0"/>
    <w:rsid w:val="005E2FEB"/>
    <w:rsid w:val="005E32A8"/>
    <w:rsid w:val="005E567D"/>
    <w:rsid w:val="005E5B6C"/>
    <w:rsid w:val="005E6F69"/>
    <w:rsid w:val="005E7066"/>
    <w:rsid w:val="005E7F79"/>
    <w:rsid w:val="005F23C7"/>
    <w:rsid w:val="005F3C2E"/>
    <w:rsid w:val="005F3D17"/>
    <w:rsid w:val="005F42DF"/>
    <w:rsid w:val="00601485"/>
    <w:rsid w:val="006069CF"/>
    <w:rsid w:val="00606C6D"/>
    <w:rsid w:val="00607C54"/>
    <w:rsid w:val="006112C3"/>
    <w:rsid w:val="00614A69"/>
    <w:rsid w:val="00615543"/>
    <w:rsid w:val="00616D0E"/>
    <w:rsid w:val="006173C5"/>
    <w:rsid w:val="00617D40"/>
    <w:rsid w:val="00621609"/>
    <w:rsid w:val="006234D0"/>
    <w:rsid w:val="006235B3"/>
    <w:rsid w:val="00623B77"/>
    <w:rsid w:val="006313B9"/>
    <w:rsid w:val="00631B68"/>
    <w:rsid w:val="00631CC9"/>
    <w:rsid w:val="00632672"/>
    <w:rsid w:val="00633BDB"/>
    <w:rsid w:val="00635DFC"/>
    <w:rsid w:val="006427BA"/>
    <w:rsid w:val="00642862"/>
    <w:rsid w:val="00642FA0"/>
    <w:rsid w:val="00646220"/>
    <w:rsid w:val="0064640E"/>
    <w:rsid w:val="00647994"/>
    <w:rsid w:val="00652715"/>
    <w:rsid w:val="0065340F"/>
    <w:rsid w:val="006535AA"/>
    <w:rsid w:val="00653DCF"/>
    <w:rsid w:val="00654A76"/>
    <w:rsid w:val="0065684D"/>
    <w:rsid w:val="00657372"/>
    <w:rsid w:val="0066325C"/>
    <w:rsid w:val="00663669"/>
    <w:rsid w:val="00663FF8"/>
    <w:rsid w:val="00664BDE"/>
    <w:rsid w:val="00664D45"/>
    <w:rsid w:val="0066524E"/>
    <w:rsid w:val="0066599F"/>
    <w:rsid w:val="006659D8"/>
    <w:rsid w:val="0066628F"/>
    <w:rsid w:val="00666C74"/>
    <w:rsid w:val="00666D5C"/>
    <w:rsid w:val="00667741"/>
    <w:rsid w:val="00667BBB"/>
    <w:rsid w:val="0067059A"/>
    <w:rsid w:val="00670A32"/>
    <w:rsid w:val="00670AE7"/>
    <w:rsid w:val="0067338D"/>
    <w:rsid w:val="0067753F"/>
    <w:rsid w:val="00681746"/>
    <w:rsid w:val="00684974"/>
    <w:rsid w:val="006852B8"/>
    <w:rsid w:val="0068637E"/>
    <w:rsid w:val="00691E1A"/>
    <w:rsid w:val="00693422"/>
    <w:rsid w:val="00693B2A"/>
    <w:rsid w:val="00696D08"/>
    <w:rsid w:val="00697904"/>
    <w:rsid w:val="006A12F8"/>
    <w:rsid w:val="006A1A93"/>
    <w:rsid w:val="006A1DB2"/>
    <w:rsid w:val="006B00D8"/>
    <w:rsid w:val="006B553A"/>
    <w:rsid w:val="006B5FFC"/>
    <w:rsid w:val="006B699A"/>
    <w:rsid w:val="006B766D"/>
    <w:rsid w:val="006C04CF"/>
    <w:rsid w:val="006C191A"/>
    <w:rsid w:val="006C1A4A"/>
    <w:rsid w:val="006C3251"/>
    <w:rsid w:val="006C445D"/>
    <w:rsid w:val="006C46BD"/>
    <w:rsid w:val="006C4746"/>
    <w:rsid w:val="006C637E"/>
    <w:rsid w:val="006C6418"/>
    <w:rsid w:val="006C7E0C"/>
    <w:rsid w:val="006D1552"/>
    <w:rsid w:val="006D1B5F"/>
    <w:rsid w:val="006D2384"/>
    <w:rsid w:val="006D3904"/>
    <w:rsid w:val="006D4574"/>
    <w:rsid w:val="006D4806"/>
    <w:rsid w:val="006D4E8B"/>
    <w:rsid w:val="006D68E6"/>
    <w:rsid w:val="006D6D17"/>
    <w:rsid w:val="006D78C5"/>
    <w:rsid w:val="006E1A4E"/>
    <w:rsid w:val="006E1BC2"/>
    <w:rsid w:val="006E2102"/>
    <w:rsid w:val="006E2ADF"/>
    <w:rsid w:val="006E5082"/>
    <w:rsid w:val="006E5359"/>
    <w:rsid w:val="006F0F79"/>
    <w:rsid w:val="006F2BBF"/>
    <w:rsid w:val="006F4F3F"/>
    <w:rsid w:val="006F5C35"/>
    <w:rsid w:val="006F6166"/>
    <w:rsid w:val="006F7178"/>
    <w:rsid w:val="006F79B4"/>
    <w:rsid w:val="00703BA9"/>
    <w:rsid w:val="0070524A"/>
    <w:rsid w:val="007058C1"/>
    <w:rsid w:val="00705C63"/>
    <w:rsid w:val="00706D4F"/>
    <w:rsid w:val="007075FC"/>
    <w:rsid w:val="0070792F"/>
    <w:rsid w:val="00710D82"/>
    <w:rsid w:val="00711BD5"/>
    <w:rsid w:val="00713673"/>
    <w:rsid w:val="0072010E"/>
    <w:rsid w:val="007213C7"/>
    <w:rsid w:val="00721583"/>
    <w:rsid w:val="00723A12"/>
    <w:rsid w:val="00723CC9"/>
    <w:rsid w:val="00724CC6"/>
    <w:rsid w:val="00726405"/>
    <w:rsid w:val="0072642B"/>
    <w:rsid w:val="00726F92"/>
    <w:rsid w:val="00727B9E"/>
    <w:rsid w:val="00731FC1"/>
    <w:rsid w:val="007331B9"/>
    <w:rsid w:val="00735381"/>
    <w:rsid w:val="00735772"/>
    <w:rsid w:val="0073691A"/>
    <w:rsid w:val="007401BE"/>
    <w:rsid w:val="00743926"/>
    <w:rsid w:val="0074493A"/>
    <w:rsid w:val="007455A1"/>
    <w:rsid w:val="00750FCA"/>
    <w:rsid w:val="00751806"/>
    <w:rsid w:val="007519B5"/>
    <w:rsid w:val="00751B9A"/>
    <w:rsid w:val="007536D6"/>
    <w:rsid w:val="007569D4"/>
    <w:rsid w:val="00757DBF"/>
    <w:rsid w:val="007627AC"/>
    <w:rsid w:val="00762810"/>
    <w:rsid w:val="00763AA4"/>
    <w:rsid w:val="00763E2A"/>
    <w:rsid w:val="0076478B"/>
    <w:rsid w:val="0077079C"/>
    <w:rsid w:val="007737B9"/>
    <w:rsid w:val="00773A87"/>
    <w:rsid w:val="00774DB0"/>
    <w:rsid w:val="007751C8"/>
    <w:rsid w:val="0077531E"/>
    <w:rsid w:val="00776931"/>
    <w:rsid w:val="00777827"/>
    <w:rsid w:val="00782109"/>
    <w:rsid w:val="00782BDB"/>
    <w:rsid w:val="00782E52"/>
    <w:rsid w:val="0078701E"/>
    <w:rsid w:val="007874B1"/>
    <w:rsid w:val="007878CF"/>
    <w:rsid w:val="0079566D"/>
    <w:rsid w:val="0079647D"/>
    <w:rsid w:val="00796559"/>
    <w:rsid w:val="007A095C"/>
    <w:rsid w:val="007A0C28"/>
    <w:rsid w:val="007A13A6"/>
    <w:rsid w:val="007A16B7"/>
    <w:rsid w:val="007A2163"/>
    <w:rsid w:val="007A25B1"/>
    <w:rsid w:val="007A2B46"/>
    <w:rsid w:val="007A2FAD"/>
    <w:rsid w:val="007A3BE8"/>
    <w:rsid w:val="007A3D8C"/>
    <w:rsid w:val="007A47D9"/>
    <w:rsid w:val="007A653A"/>
    <w:rsid w:val="007B1867"/>
    <w:rsid w:val="007B2ED6"/>
    <w:rsid w:val="007B4142"/>
    <w:rsid w:val="007B42B4"/>
    <w:rsid w:val="007B4F46"/>
    <w:rsid w:val="007B58C9"/>
    <w:rsid w:val="007B5C6E"/>
    <w:rsid w:val="007C127E"/>
    <w:rsid w:val="007C14D1"/>
    <w:rsid w:val="007C5C10"/>
    <w:rsid w:val="007C6012"/>
    <w:rsid w:val="007D040B"/>
    <w:rsid w:val="007D08E5"/>
    <w:rsid w:val="007D2C5F"/>
    <w:rsid w:val="007D313B"/>
    <w:rsid w:val="007D5440"/>
    <w:rsid w:val="007D55D4"/>
    <w:rsid w:val="007D60B0"/>
    <w:rsid w:val="007E1867"/>
    <w:rsid w:val="007E18D1"/>
    <w:rsid w:val="007E38DD"/>
    <w:rsid w:val="007E402F"/>
    <w:rsid w:val="007E4A52"/>
    <w:rsid w:val="007E5023"/>
    <w:rsid w:val="007E541B"/>
    <w:rsid w:val="007E5AA8"/>
    <w:rsid w:val="007E6566"/>
    <w:rsid w:val="007E72CF"/>
    <w:rsid w:val="007E7B94"/>
    <w:rsid w:val="007F1576"/>
    <w:rsid w:val="007F1881"/>
    <w:rsid w:val="007F1C30"/>
    <w:rsid w:val="007F297E"/>
    <w:rsid w:val="007F2BDA"/>
    <w:rsid w:val="007F4714"/>
    <w:rsid w:val="007F513C"/>
    <w:rsid w:val="007F6C3F"/>
    <w:rsid w:val="007F7AF7"/>
    <w:rsid w:val="008004A2"/>
    <w:rsid w:val="00800BAB"/>
    <w:rsid w:val="0080277C"/>
    <w:rsid w:val="00802F16"/>
    <w:rsid w:val="00804ABE"/>
    <w:rsid w:val="00804C43"/>
    <w:rsid w:val="008059AD"/>
    <w:rsid w:val="00805F94"/>
    <w:rsid w:val="00810856"/>
    <w:rsid w:val="00812355"/>
    <w:rsid w:val="008145B1"/>
    <w:rsid w:val="0081468F"/>
    <w:rsid w:val="00815D2E"/>
    <w:rsid w:val="008202F6"/>
    <w:rsid w:val="00820642"/>
    <w:rsid w:val="008207A6"/>
    <w:rsid w:val="0082089F"/>
    <w:rsid w:val="00823069"/>
    <w:rsid w:val="0083071F"/>
    <w:rsid w:val="008335E2"/>
    <w:rsid w:val="0083402B"/>
    <w:rsid w:val="0083678F"/>
    <w:rsid w:val="00836B12"/>
    <w:rsid w:val="008400B8"/>
    <w:rsid w:val="008418E4"/>
    <w:rsid w:val="0084332D"/>
    <w:rsid w:val="00843D59"/>
    <w:rsid w:val="008458B2"/>
    <w:rsid w:val="00846994"/>
    <w:rsid w:val="00846B46"/>
    <w:rsid w:val="00852209"/>
    <w:rsid w:val="008530EA"/>
    <w:rsid w:val="00856C28"/>
    <w:rsid w:val="008576A5"/>
    <w:rsid w:val="008605BE"/>
    <w:rsid w:val="00860901"/>
    <w:rsid w:val="00864819"/>
    <w:rsid w:val="00864FF6"/>
    <w:rsid w:val="00865829"/>
    <w:rsid w:val="00865CA1"/>
    <w:rsid w:val="008712CE"/>
    <w:rsid w:val="0087317C"/>
    <w:rsid w:val="00874622"/>
    <w:rsid w:val="00874D91"/>
    <w:rsid w:val="00874E81"/>
    <w:rsid w:val="008769BC"/>
    <w:rsid w:val="008769BF"/>
    <w:rsid w:val="008806CD"/>
    <w:rsid w:val="00883376"/>
    <w:rsid w:val="008841B6"/>
    <w:rsid w:val="008844AF"/>
    <w:rsid w:val="00884AEC"/>
    <w:rsid w:val="00884B91"/>
    <w:rsid w:val="0089122F"/>
    <w:rsid w:val="00893E9E"/>
    <w:rsid w:val="008941FF"/>
    <w:rsid w:val="00895147"/>
    <w:rsid w:val="00895192"/>
    <w:rsid w:val="008A0FCE"/>
    <w:rsid w:val="008A3366"/>
    <w:rsid w:val="008A3EF4"/>
    <w:rsid w:val="008B13DD"/>
    <w:rsid w:val="008B154D"/>
    <w:rsid w:val="008B4B6C"/>
    <w:rsid w:val="008B6C3D"/>
    <w:rsid w:val="008B782B"/>
    <w:rsid w:val="008B7D25"/>
    <w:rsid w:val="008C03A8"/>
    <w:rsid w:val="008C491F"/>
    <w:rsid w:val="008C56A8"/>
    <w:rsid w:val="008C56DE"/>
    <w:rsid w:val="008C6CFB"/>
    <w:rsid w:val="008C7E63"/>
    <w:rsid w:val="008D20E8"/>
    <w:rsid w:val="008D23D8"/>
    <w:rsid w:val="008D3E75"/>
    <w:rsid w:val="008D4C8B"/>
    <w:rsid w:val="008D5AD7"/>
    <w:rsid w:val="008D729B"/>
    <w:rsid w:val="008E04FA"/>
    <w:rsid w:val="008E2363"/>
    <w:rsid w:val="008E277D"/>
    <w:rsid w:val="008E3363"/>
    <w:rsid w:val="008E33C1"/>
    <w:rsid w:val="008E3473"/>
    <w:rsid w:val="008E4038"/>
    <w:rsid w:val="008E6C8F"/>
    <w:rsid w:val="008E7C08"/>
    <w:rsid w:val="008F011B"/>
    <w:rsid w:val="008F0708"/>
    <w:rsid w:val="008F3DC7"/>
    <w:rsid w:val="008F408A"/>
    <w:rsid w:val="008F61A5"/>
    <w:rsid w:val="008F6BCD"/>
    <w:rsid w:val="008F6EB0"/>
    <w:rsid w:val="00901E8F"/>
    <w:rsid w:val="00903991"/>
    <w:rsid w:val="00903F42"/>
    <w:rsid w:val="00905102"/>
    <w:rsid w:val="009068CE"/>
    <w:rsid w:val="0090696A"/>
    <w:rsid w:val="00906DC4"/>
    <w:rsid w:val="0091160F"/>
    <w:rsid w:val="00912514"/>
    <w:rsid w:val="0091293B"/>
    <w:rsid w:val="00913D4F"/>
    <w:rsid w:val="00914863"/>
    <w:rsid w:val="00915D49"/>
    <w:rsid w:val="0091691B"/>
    <w:rsid w:val="0091714E"/>
    <w:rsid w:val="00917EA7"/>
    <w:rsid w:val="009256D7"/>
    <w:rsid w:val="0092596D"/>
    <w:rsid w:val="009303BD"/>
    <w:rsid w:val="009303D4"/>
    <w:rsid w:val="009314C0"/>
    <w:rsid w:val="00931DF4"/>
    <w:rsid w:val="00932875"/>
    <w:rsid w:val="00935293"/>
    <w:rsid w:val="00937773"/>
    <w:rsid w:val="00937EC3"/>
    <w:rsid w:val="00940C40"/>
    <w:rsid w:val="009418D7"/>
    <w:rsid w:val="0094402E"/>
    <w:rsid w:val="00945D20"/>
    <w:rsid w:val="00952474"/>
    <w:rsid w:val="00952D62"/>
    <w:rsid w:val="00953420"/>
    <w:rsid w:val="009542A1"/>
    <w:rsid w:val="009546F0"/>
    <w:rsid w:val="00954B7C"/>
    <w:rsid w:val="00954D3B"/>
    <w:rsid w:val="00956742"/>
    <w:rsid w:val="009620BB"/>
    <w:rsid w:val="00962B23"/>
    <w:rsid w:val="00964EA0"/>
    <w:rsid w:val="00966895"/>
    <w:rsid w:val="00977629"/>
    <w:rsid w:val="0098012A"/>
    <w:rsid w:val="00980640"/>
    <w:rsid w:val="009818C5"/>
    <w:rsid w:val="00983573"/>
    <w:rsid w:val="009838D4"/>
    <w:rsid w:val="00983BDE"/>
    <w:rsid w:val="009840B4"/>
    <w:rsid w:val="00984694"/>
    <w:rsid w:val="00984F1D"/>
    <w:rsid w:val="0098519A"/>
    <w:rsid w:val="00986121"/>
    <w:rsid w:val="0098757D"/>
    <w:rsid w:val="00991B7F"/>
    <w:rsid w:val="00993486"/>
    <w:rsid w:val="00993D08"/>
    <w:rsid w:val="00994880"/>
    <w:rsid w:val="00994A9C"/>
    <w:rsid w:val="009961D6"/>
    <w:rsid w:val="00997209"/>
    <w:rsid w:val="00997314"/>
    <w:rsid w:val="00997EB4"/>
    <w:rsid w:val="009A07DE"/>
    <w:rsid w:val="009A0990"/>
    <w:rsid w:val="009A1843"/>
    <w:rsid w:val="009A1973"/>
    <w:rsid w:val="009A2213"/>
    <w:rsid w:val="009A4990"/>
    <w:rsid w:val="009A553D"/>
    <w:rsid w:val="009A7DFA"/>
    <w:rsid w:val="009B0585"/>
    <w:rsid w:val="009B1762"/>
    <w:rsid w:val="009B28B0"/>
    <w:rsid w:val="009B34BE"/>
    <w:rsid w:val="009B41A2"/>
    <w:rsid w:val="009B65ED"/>
    <w:rsid w:val="009B6DBA"/>
    <w:rsid w:val="009C0245"/>
    <w:rsid w:val="009C0E49"/>
    <w:rsid w:val="009C255D"/>
    <w:rsid w:val="009C40FC"/>
    <w:rsid w:val="009C5527"/>
    <w:rsid w:val="009C62C8"/>
    <w:rsid w:val="009C67D9"/>
    <w:rsid w:val="009C67DB"/>
    <w:rsid w:val="009D0A58"/>
    <w:rsid w:val="009D0C71"/>
    <w:rsid w:val="009D1B4A"/>
    <w:rsid w:val="009D5826"/>
    <w:rsid w:val="009D61F2"/>
    <w:rsid w:val="009D695E"/>
    <w:rsid w:val="009D72FF"/>
    <w:rsid w:val="009E262D"/>
    <w:rsid w:val="009E415A"/>
    <w:rsid w:val="009E6BB0"/>
    <w:rsid w:val="009F096E"/>
    <w:rsid w:val="009F135C"/>
    <w:rsid w:val="009F1C4F"/>
    <w:rsid w:val="00A032A7"/>
    <w:rsid w:val="00A04A43"/>
    <w:rsid w:val="00A06A6D"/>
    <w:rsid w:val="00A0782B"/>
    <w:rsid w:val="00A07DC1"/>
    <w:rsid w:val="00A10ED5"/>
    <w:rsid w:val="00A11270"/>
    <w:rsid w:val="00A114A6"/>
    <w:rsid w:val="00A11700"/>
    <w:rsid w:val="00A11E8B"/>
    <w:rsid w:val="00A126AF"/>
    <w:rsid w:val="00A12A36"/>
    <w:rsid w:val="00A13B3B"/>
    <w:rsid w:val="00A13F28"/>
    <w:rsid w:val="00A15853"/>
    <w:rsid w:val="00A176AC"/>
    <w:rsid w:val="00A20B7B"/>
    <w:rsid w:val="00A21219"/>
    <w:rsid w:val="00A219CB"/>
    <w:rsid w:val="00A236D8"/>
    <w:rsid w:val="00A23AC0"/>
    <w:rsid w:val="00A24135"/>
    <w:rsid w:val="00A2483B"/>
    <w:rsid w:val="00A2715B"/>
    <w:rsid w:val="00A3007D"/>
    <w:rsid w:val="00A308F1"/>
    <w:rsid w:val="00A316CD"/>
    <w:rsid w:val="00A330D0"/>
    <w:rsid w:val="00A338F3"/>
    <w:rsid w:val="00A34604"/>
    <w:rsid w:val="00A35073"/>
    <w:rsid w:val="00A35445"/>
    <w:rsid w:val="00A3648D"/>
    <w:rsid w:val="00A37664"/>
    <w:rsid w:val="00A40910"/>
    <w:rsid w:val="00A410A3"/>
    <w:rsid w:val="00A44BD0"/>
    <w:rsid w:val="00A45060"/>
    <w:rsid w:val="00A45991"/>
    <w:rsid w:val="00A52BD0"/>
    <w:rsid w:val="00A52F85"/>
    <w:rsid w:val="00A534F3"/>
    <w:rsid w:val="00A538D3"/>
    <w:rsid w:val="00A5429C"/>
    <w:rsid w:val="00A54966"/>
    <w:rsid w:val="00A604F2"/>
    <w:rsid w:val="00A6168C"/>
    <w:rsid w:val="00A63BD8"/>
    <w:rsid w:val="00A64BB8"/>
    <w:rsid w:val="00A64C41"/>
    <w:rsid w:val="00A66682"/>
    <w:rsid w:val="00A669CE"/>
    <w:rsid w:val="00A66AD4"/>
    <w:rsid w:val="00A708D0"/>
    <w:rsid w:val="00A72342"/>
    <w:rsid w:val="00A72C88"/>
    <w:rsid w:val="00A73C77"/>
    <w:rsid w:val="00A7554D"/>
    <w:rsid w:val="00A75EDC"/>
    <w:rsid w:val="00A76FF1"/>
    <w:rsid w:val="00A8022F"/>
    <w:rsid w:val="00A80CE9"/>
    <w:rsid w:val="00A90886"/>
    <w:rsid w:val="00A93727"/>
    <w:rsid w:val="00A962A2"/>
    <w:rsid w:val="00AA2271"/>
    <w:rsid w:val="00AA4D4E"/>
    <w:rsid w:val="00AB1E9E"/>
    <w:rsid w:val="00AB315F"/>
    <w:rsid w:val="00AB4553"/>
    <w:rsid w:val="00AB6538"/>
    <w:rsid w:val="00AB740D"/>
    <w:rsid w:val="00AB77C7"/>
    <w:rsid w:val="00AB7985"/>
    <w:rsid w:val="00AC287E"/>
    <w:rsid w:val="00AC3752"/>
    <w:rsid w:val="00AC43CE"/>
    <w:rsid w:val="00AC5A79"/>
    <w:rsid w:val="00AC6A84"/>
    <w:rsid w:val="00AC6AF9"/>
    <w:rsid w:val="00AD12D5"/>
    <w:rsid w:val="00AD1CD8"/>
    <w:rsid w:val="00AD341F"/>
    <w:rsid w:val="00AD35D5"/>
    <w:rsid w:val="00AD3DC4"/>
    <w:rsid w:val="00AD453F"/>
    <w:rsid w:val="00AD6262"/>
    <w:rsid w:val="00AD77CC"/>
    <w:rsid w:val="00AE009C"/>
    <w:rsid w:val="00AE2493"/>
    <w:rsid w:val="00AE2AC1"/>
    <w:rsid w:val="00AE2EB5"/>
    <w:rsid w:val="00AE3162"/>
    <w:rsid w:val="00AE72A2"/>
    <w:rsid w:val="00AF05FD"/>
    <w:rsid w:val="00AF1074"/>
    <w:rsid w:val="00AF3E8D"/>
    <w:rsid w:val="00AF43E7"/>
    <w:rsid w:val="00AF4ADB"/>
    <w:rsid w:val="00AF54B7"/>
    <w:rsid w:val="00AF749A"/>
    <w:rsid w:val="00AF7A69"/>
    <w:rsid w:val="00AF7FDB"/>
    <w:rsid w:val="00B00C43"/>
    <w:rsid w:val="00B016E9"/>
    <w:rsid w:val="00B01F39"/>
    <w:rsid w:val="00B04979"/>
    <w:rsid w:val="00B04BB9"/>
    <w:rsid w:val="00B05885"/>
    <w:rsid w:val="00B06839"/>
    <w:rsid w:val="00B06CC0"/>
    <w:rsid w:val="00B10879"/>
    <w:rsid w:val="00B10A20"/>
    <w:rsid w:val="00B12E17"/>
    <w:rsid w:val="00B1389B"/>
    <w:rsid w:val="00B143E8"/>
    <w:rsid w:val="00B1464B"/>
    <w:rsid w:val="00B15B38"/>
    <w:rsid w:val="00B202C2"/>
    <w:rsid w:val="00B20476"/>
    <w:rsid w:val="00B21AA2"/>
    <w:rsid w:val="00B23353"/>
    <w:rsid w:val="00B256F3"/>
    <w:rsid w:val="00B26451"/>
    <w:rsid w:val="00B26BA5"/>
    <w:rsid w:val="00B30DA5"/>
    <w:rsid w:val="00B32C18"/>
    <w:rsid w:val="00B33FC7"/>
    <w:rsid w:val="00B345E2"/>
    <w:rsid w:val="00B35CD3"/>
    <w:rsid w:val="00B36A30"/>
    <w:rsid w:val="00B36AA2"/>
    <w:rsid w:val="00B37AB9"/>
    <w:rsid w:val="00B40E44"/>
    <w:rsid w:val="00B43159"/>
    <w:rsid w:val="00B44365"/>
    <w:rsid w:val="00B447F5"/>
    <w:rsid w:val="00B44BD5"/>
    <w:rsid w:val="00B453A2"/>
    <w:rsid w:val="00B4576C"/>
    <w:rsid w:val="00B45ED0"/>
    <w:rsid w:val="00B479C2"/>
    <w:rsid w:val="00B508F6"/>
    <w:rsid w:val="00B50DD9"/>
    <w:rsid w:val="00B51354"/>
    <w:rsid w:val="00B5176B"/>
    <w:rsid w:val="00B5312B"/>
    <w:rsid w:val="00B56DF1"/>
    <w:rsid w:val="00B571BC"/>
    <w:rsid w:val="00B57FD0"/>
    <w:rsid w:val="00B6171A"/>
    <w:rsid w:val="00B66A85"/>
    <w:rsid w:val="00B7086C"/>
    <w:rsid w:val="00B70CFB"/>
    <w:rsid w:val="00B71336"/>
    <w:rsid w:val="00B729F9"/>
    <w:rsid w:val="00B73302"/>
    <w:rsid w:val="00B73974"/>
    <w:rsid w:val="00B73EE9"/>
    <w:rsid w:val="00B754B9"/>
    <w:rsid w:val="00B75B66"/>
    <w:rsid w:val="00B75C9D"/>
    <w:rsid w:val="00B760B6"/>
    <w:rsid w:val="00B80647"/>
    <w:rsid w:val="00B81C65"/>
    <w:rsid w:val="00B831B9"/>
    <w:rsid w:val="00B85D16"/>
    <w:rsid w:val="00B9053A"/>
    <w:rsid w:val="00B90BFB"/>
    <w:rsid w:val="00B90E00"/>
    <w:rsid w:val="00B92063"/>
    <w:rsid w:val="00B92D6C"/>
    <w:rsid w:val="00B94C68"/>
    <w:rsid w:val="00B95F50"/>
    <w:rsid w:val="00BA0BD0"/>
    <w:rsid w:val="00BA3FC5"/>
    <w:rsid w:val="00BA628A"/>
    <w:rsid w:val="00BA64DD"/>
    <w:rsid w:val="00BA6550"/>
    <w:rsid w:val="00BA7782"/>
    <w:rsid w:val="00BA7BFC"/>
    <w:rsid w:val="00BB0999"/>
    <w:rsid w:val="00BB3BDB"/>
    <w:rsid w:val="00BB48E0"/>
    <w:rsid w:val="00BB5E65"/>
    <w:rsid w:val="00BC063F"/>
    <w:rsid w:val="00BC15E8"/>
    <w:rsid w:val="00BC23E3"/>
    <w:rsid w:val="00BC2D55"/>
    <w:rsid w:val="00BC3844"/>
    <w:rsid w:val="00BC3D02"/>
    <w:rsid w:val="00BC4319"/>
    <w:rsid w:val="00BC4606"/>
    <w:rsid w:val="00BC4836"/>
    <w:rsid w:val="00BC4EF7"/>
    <w:rsid w:val="00BC56C5"/>
    <w:rsid w:val="00BC5EF4"/>
    <w:rsid w:val="00BD06D2"/>
    <w:rsid w:val="00BD094F"/>
    <w:rsid w:val="00BD295A"/>
    <w:rsid w:val="00BD2994"/>
    <w:rsid w:val="00BD3384"/>
    <w:rsid w:val="00BD56E0"/>
    <w:rsid w:val="00BD5840"/>
    <w:rsid w:val="00BD59AC"/>
    <w:rsid w:val="00BD7028"/>
    <w:rsid w:val="00BD768B"/>
    <w:rsid w:val="00BE0110"/>
    <w:rsid w:val="00BE2059"/>
    <w:rsid w:val="00BE2809"/>
    <w:rsid w:val="00BE44DC"/>
    <w:rsid w:val="00BE464C"/>
    <w:rsid w:val="00BE4C8B"/>
    <w:rsid w:val="00BE4FE9"/>
    <w:rsid w:val="00BE5457"/>
    <w:rsid w:val="00BE6A01"/>
    <w:rsid w:val="00BE7564"/>
    <w:rsid w:val="00BF21AB"/>
    <w:rsid w:val="00BF431B"/>
    <w:rsid w:val="00BF6E72"/>
    <w:rsid w:val="00BF71CB"/>
    <w:rsid w:val="00BF73E8"/>
    <w:rsid w:val="00BF77DE"/>
    <w:rsid w:val="00C00DDE"/>
    <w:rsid w:val="00C00DFB"/>
    <w:rsid w:val="00C03382"/>
    <w:rsid w:val="00C03C57"/>
    <w:rsid w:val="00C04BB2"/>
    <w:rsid w:val="00C04DAE"/>
    <w:rsid w:val="00C05317"/>
    <w:rsid w:val="00C054E0"/>
    <w:rsid w:val="00C10020"/>
    <w:rsid w:val="00C103F9"/>
    <w:rsid w:val="00C10883"/>
    <w:rsid w:val="00C11FAD"/>
    <w:rsid w:val="00C1260C"/>
    <w:rsid w:val="00C12D17"/>
    <w:rsid w:val="00C133E1"/>
    <w:rsid w:val="00C135BA"/>
    <w:rsid w:val="00C13752"/>
    <w:rsid w:val="00C14BA8"/>
    <w:rsid w:val="00C14BFE"/>
    <w:rsid w:val="00C17E5C"/>
    <w:rsid w:val="00C21EFF"/>
    <w:rsid w:val="00C246B8"/>
    <w:rsid w:val="00C26DD2"/>
    <w:rsid w:val="00C321D8"/>
    <w:rsid w:val="00C32754"/>
    <w:rsid w:val="00C32CA2"/>
    <w:rsid w:val="00C32CB5"/>
    <w:rsid w:val="00C34492"/>
    <w:rsid w:val="00C34887"/>
    <w:rsid w:val="00C3518B"/>
    <w:rsid w:val="00C362E4"/>
    <w:rsid w:val="00C3682B"/>
    <w:rsid w:val="00C36B7A"/>
    <w:rsid w:val="00C36D38"/>
    <w:rsid w:val="00C40BDB"/>
    <w:rsid w:val="00C421BF"/>
    <w:rsid w:val="00C42520"/>
    <w:rsid w:val="00C43826"/>
    <w:rsid w:val="00C45C48"/>
    <w:rsid w:val="00C469DD"/>
    <w:rsid w:val="00C46C89"/>
    <w:rsid w:val="00C47030"/>
    <w:rsid w:val="00C501B9"/>
    <w:rsid w:val="00C50541"/>
    <w:rsid w:val="00C50E3D"/>
    <w:rsid w:val="00C5262A"/>
    <w:rsid w:val="00C5269C"/>
    <w:rsid w:val="00C52E26"/>
    <w:rsid w:val="00C533E3"/>
    <w:rsid w:val="00C539E8"/>
    <w:rsid w:val="00C54A70"/>
    <w:rsid w:val="00C54E89"/>
    <w:rsid w:val="00C56640"/>
    <w:rsid w:val="00C5666E"/>
    <w:rsid w:val="00C57DD2"/>
    <w:rsid w:val="00C60728"/>
    <w:rsid w:val="00C60E9D"/>
    <w:rsid w:val="00C6200E"/>
    <w:rsid w:val="00C6208B"/>
    <w:rsid w:val="00C6593A"/>
    <w:rsid w:val="00C71A87"/>
    <w:rsid w:val="00C74468"/>
    <w:rsid w:val="00C74592"/>
    <w:rsid w:val="00C76AFB"/>
    <w:rsid w:val="00C76DB1"/>
    <w:rsid w:val="00C77BE9"/>
    <w:rsid w:val="00C805CF"/>
    <w:rsid w:val="00C80663"/>
    <w:rsid w:val="00C81401"/>
    <w:rsid w:val="00C84A1C"/>
    <w:rsid w:val="00C8758E"/>
    <w:rsid w:val="00C90460"/>
    <w:rsid w:val="00C91C1C"/>
    <w:rsid w:val="00C93855"/>
    <w:rsid w:val="00C96CAD"/>
    <w:rsid w:val="00C97B42"/>
    <w:rsid w:val="00CA0E71"/>
    <w:rsid w:val="00CA113E"/>
    <w:rsid w:val="00CA2871"/>
    <w:rsid w:val="00CA6D93"/>
    <w:rsid w:val="00CA73B3"/>
    <w:rsid w:val="00CB0DA1"/>
    <w:rsid w:val="00CB114E"/>
    <w:rsid w:val="00CB1302"/>
    <w:rsid w:val="00CB2986"/>
    <w:rsid w:val="00CB2E55"/>
    <w:rsid w:val="00CB6C24"/>
    <w:rsid w:val="00CC38F0"/>
    <w:rsid w:val="00CC42A2"/>
    <w:rsid w:val="00CC59FA"/>
    <w:rsid w:val="00CD0BBF"/>
    <w:rsid w:val="00CD2043"/>
    <w:rsid w:val="00CD2423"/>
    <w:rsid w:val="00CD2F06"/>
    <w:rsid w:val="00CD306C"/>
    <w:rsid w:val="00CD4497"/>
    <w:rsid w:val="00CE0515"/>
    <w:rsid w:val="00CE080A"/>
    <w:rsid w:val="00CE11AC"/>
    <w:rsid w:val="00CE21D8"/>
    <w:rsid w:val="00CE3176"/>
    <w:rsid w:val="00CE401C"/>
    <w:rsid w:val="00CE5C84"/>
    <w:rsid w:val="00CE70FB"/>
    <w:rsid w:val="00CE7726"/>
    <w:rsid w:val="00CF03B4"/>
    <w:rsid w:val="00CF13F7"/>
    <w:rsid w:val="00CF16B2"/>
    <w:rsid w:val="00CF3786"/>
    <w:rsid w:val="00CF48FB"/>
    <w:rsid w:val="00CF5AF7"/>
    <w:rsid w:val="00D017F6"/>
    <w:rsid w:val="00D01BAC"/>
    <w:rsid w:val="00D02882"/>
    <w:rsid w:val="00D02E31"/>
    <w:rsid w:val="00D05E95"/>
    <w:rsid w:val="00D06D7A"/>
    <w:rsid w:val="00D06EBA"/>
    <w:rsid w:val="00D11BB4"/>
    <w:rsid w:val="00D17540"/>
    <w:rsid w:val="00D17D61"/>
    <w:rsid w:val="00D202B9"/>
    <w:rsid w:val="00D203A5"/>
    <w:rsid w:val="00D215F4"/>
    <w:rsid w:val="00D25894"/>
    <w:rsid w:val="00D265CC"/>
    <w:rsid w:val="00D2677B"/>
    <w:rsid w:val="00D26CCC"/>
    <w:rsid w:val="00D2725D"/>
    <w:rsid w:val="00D30618"/>
    <w:rsid w:val="00D324DB"/>
    <w:rsid w:val="00D33B65"/>
    <w:rsid w:val="00D36CB5"/>
    <w:rsid w:val="00D37714"/>
    <w:rsid w:val="00D42302"/>
    <w:rsid w:val="00D42522"/>
    <w:rsid w:val="00D437D6"/>
    <w:rsid w:val="00D43F84"/>
    <w:rsid w:val="00D451A1"/>
    <w:rsid w:val="00D4602D"/>
    <w:rsid w:val="00D460F2"/>
    <w:rsid w:val="00D46459"/>
    <w:rsid w:val="00D5017D"/>
    <w:rsid w:val="00D50BB6"/>
    <w:rsid w:val="00D50FD3"/>
    <w:rsid w:val="00D5130C"/>
    <w:rsid w:val="00D53D2D"/>
    <w:rsid w:val="00D54768"/>
    <w:rsid w:val="00D55D5C"/>
    <w:rsid w:val="00D5739C"/>
    <w:rsid w:val="00D57A1D"/>
    <w:rsid w:val="00D61A5C"/>
    <w:rsid w:val="00D61E09"/>
    <w:rsid w:val="00D623CA"/>
    <w:rsid w:val="00D633B9"/>
    <w:rsid w:val="00D63461"/>
    <w:rsid w:val="00D642BE"/>
    <w:rsid w:val="00D64B9D"/>
    <w:rsid w:val="00D65C39"/>
    <w:rsid w:val="00D67A5D"/>
    <w:rsid w:val="00D70EC6"/>
    <w:rsid w:val="00D730F5"/>
    <w:rsid w:val="00D74117"/>
    <w:rsid w:val="00D75525"/>
    <w:rsid w:val="00D75A1D"/>
    <w:rsid w:val="00D80047"/>
    <w:rsid w:val="00D808C9"/>
    <w:rsid w:val="00D81173"/>
    <w:rsid w:val="00D8183F"/>
    <w:rsid w:val="00D82E77"/>
    <w:rsid w:val="00D83C1E"/>
    <w:rsid w:val="00D84762"/>
    <w:rsid w:val="00D85165"/>
    <w:rsid w:val="00D87F2E"/>
    <w:rsid w:val="00D924E6"/>
    <w:rsid w:val="00D9450C"/>
    <w:rsid w:val="00D97126"/>
    <w:rsid w:val="00D97235"/>
    <w:rsid w:val="00D97D78"/>
    <w:rsid w:val="00DA078F"/>
    <w:rsid w:val="00DA0A87"/>
    <w:rsid w:val="00DA0DCF"/>
    <w:rsid w:val="00DA2213"/>
    <w:rsid w:val="00DA2B72"/>
    <w:rsid w:val="00DA3E11"/>
    <w:rsid w:val="00DA6294"/>
    <w:rsid w:val="00DA7B3B"/>
    <w:rsid w:val="00DB2743"/>
    <w:rsid w:val="00DB372D"/>
    <w:rsid w:val="00DB4225"/>
    <w:rsid w:val="00DB4256"/>
    <w:rsid w:val="00DB4B1D"/>
    <w:rsid w:val="00DB4F04"/>
    <w:rsid w:val="00DB5911"/>
    <w:rsid w:val="00DB59E3"/>
    <w:rsid w:val="00DB5ED2"/>
    <w:rsid w:val="00DB7F10"/>
    <w:rsid w:val="00DC04C4"/>
    <w:rsid w:val="00DC122C"/>
    <w:rsid w:val="00DC2AED"/>
    <w:rsid w:val="00DC4779"/>
    <w:rsid w:val="00DC508D"/>
    <w:rsid w:val="00DD084B"/>
    <w:rsid w:val="00DD3A7C"/>
    <w:rsid w:val="00DD3E71"/>
    <w:rsid w:val="00DD3F2B"/>
    <w:rsid w:val="00DD45AE"/>
    <w:rsid w:val="00DD48E8"/>
    <w:rsid w:val="00DD6C3C"/>
    <w:rsid w:val="00DD779C"/>
    <w:rsid w:val="00DE0317"/>
    <w:rsid w:val="00DE4052"/>
    <w:rsid w:val="00DE534B"/>
    <w:rsid w:val="00DF12A6"/>
    <w:rsid w:val="00DF1378"/>
    <w:rsid w:val="00DF3858"/>
    <w:rsid w:val="00DF4BE7"/>
    <w:rsid w:val="00DF59FC"/>
    <w:rsid w:val="00DF7EED"/>
    <w:rsid w:val="00E04944"/>
    <w:rsid w:val="00E1053E"/>
    <w:rsid w:val="00E1170F"/>
    <w:rsid w:val="00E130D7"/>
    <w:rsid w:val="00E15404"/>
    <w:rsid w:val="00E15674"/>
    <w:rsid w:val="00E169EA"/>
    <w:rsid w:val="00E17AB2"/>
    <w:rsid w:val="00E21657"/>
    <w:rsid w:val="00E22DE9"/>
    <w:rsid w:val="00E2360E"/>
    <w:rsid w:val="00E263EF"/>
    <w:rsid w:val="00E30AB2"/>
    <w:rsid w:val="00E31362"/>
    <w:rsid w:val="00E339C2"/>
    <w:rsid w:val="00E413E1"/>
    <w:rsid w:val="00E41AF5"/>
    <w:rsid w:val="00E41B80"/>
    <w:rsid w:val="00E423D0"/>
    <w:rsid w:val="00E45482"/>
    <w:rsid w:val="00E45FAD"/>
    <w:rsid w:val="00E47378"/>
    <w:rsid w:val="00E509BE"/>
    <w:rsid w:val="00E51263"/>
    <w:rsid w:val="00E51CE7"/>
    <w:rsid w:val="00E5214F"/>
    <w:rsid w:val="00E52AA9"/>
    <w:rsid w:val="00E5339E"/>
    <w:rsid w:val="00E564D9"/>
    <w:rsid w:val="00E567DC"/>
    <w:rsid w:val="00E579BA"/>
    <w:rsid w:val="00E607F3"/>
    <w:rsid w:val="00E61ECB"/>
    <w:rsid w:val="00E639AE"/>
    <w:rsid w:val="00E6459E"/>
    <w:rsid w:val="00E6598C"/>
    <w:rsid w:val="00E67034"/>
    <w:rsid w:val="00E677A2"/>
    <w:rsid w:val="00E67E6E"/>
    <w:rsid w:val="00E70C58"/>
    <w:rsid w:val="00E72CDC"/>
    <w:rsid w:val="00E72D1E"/>
    <w:rsid w:val="00E75DB8"/>
    <w:rsid w:val="00E761DE"/>
    <w:rsid w:val="00E82565"/>
    <w:rsid w:val="00E82DE0"/>
    <w:rsid w:val="00E83461"/>
    <w:rsid w:val="00E85ACF"/>
    <w:rsid w:val="00E9037C"/>
    <w:rsid w:val="00E92154"/>
    <w:rsid w:val="00E927FC"/>
    <w:rsid w:val="00E93635"/>
    <w:rsid w:val="00E93B3D"/>
    <w:rsid w:val="00E93C25"/>
    <w:rsid w:val="00E95895"/>
    <w:rsid w:val="00E95AC9"/>
    <w:rsid w:val="00E97584"/>
    <w:rsid w:val="00EA1059"/>
    <w:rsid w:val="00EA18D3"/>
    <w:rsid w:val="00EA1E06"/>
    <w:rsid w:val="00EA2955"/>
    <w:rsid w:val="00EA443D"/>
    <w:rsid w:val="00EA71EC"/>
    <w:rsid w:val="00EB208A"/>
    <w:rsid w:val="00EB4F6F"/>
    <w:rsid w:val="00EB56BB"/>
    <w:rsid w:val="00EB59D9"/>
    <w:rsid w:val="00EB6B91"/>
    <w:rsid w:val="00EB7812"/>
    <w:rsid w:val="00EC0D1D"/>
    <w:rsid w:val="00EC228A"/>
    <w:rsid w:val="00EC24BB"/>
    <w:rsid w:val="00EC6C34"/>
    <w:rsid w:val="00EC75BC"/>
    <w:rsid w:val="00ED11DD"/>
    <w:rsid w:val="00ED28A1"/>
    <w:rsid w:val="00ED35AF"/>
    <w:rsid w:val="00ED422A"/>
    <w:rsid w:val="00ED6BC4"/>
    <w:rsid w:val="00EE052C"/>
    <w:rsid w:val="00EE10FB"/>
    <w:rsid w:val="00EE1293"/>
    <w:rsid w:val="00EE189B"/>
    <w:rsid w:val="00EE2373"/>
    <w:rsid w:val="00EE286A"/>
    <w:rsid w:val="00EE2A7B"/>
    <w:rsid w:val="00EE2B2F"/>
    <w:rsid w:val="00EE2DE9"/>
    <w:rsid w:val="00EE34AE"/>
    <w:rsid w:val="00EE3FAF"/>
    <w:rsid w:val="00EE5DD7"/>
    <w:rsid w:val="00EF1A95"/>
    <w:rsid w:val="00EF3DD5"/>
    <w:rsid w:val="00EF621E"/>
    <w:rsid w:val="00F02824"/>
    <w:rsid w:val="00F061F4"/>
    <w:rsid w:val="00F118A8"/>
    <w:rsid w:val="00F146EE"/>
    <w:rsid w:val="00F16499"/>
    <w:rsid w:val="00F20F03"/>
    <w:rsid w:val="00F267D6"/>
    <w:rsid w:val="00F26F56"/>
    <w:rsid w:val="00F304E9"/>
    <w:rsid w:val="00F3219F"/>
    <w:rsid w:val="00F323FF"/>
    <w:rsid w:val="00F34C43"/>
    <w:rsid w:val="00F3671B"/>
    <w:rsid w:val="00F40FDF"/>
    <w:rsid w:val="00F42FD2"/>
    <w:rsid w:val="00F452D0"/>
    <w:rsid w:val="00F50D65"/>
    <w:rsid w:val="00F510D5"/>
    <w:rsid w:val="00F51308"/>
    <w:rsid w:val="00F52427"/>
    <w:rsid w:val="00F5256C"/>
    <w:rsid w:val="00F53FF3"/>
    <w:rsid w:val="00F54AB8"/>
    <w:rsid w:val="00F55656"/>
    <w:rsid w:val="00F56BF6"/>
    <w:rsid w:val="00F56C38"/>
    <w:rsid w:val="00F605E3"/>
    <w:rsid w:val="00F61831"/>
    <w:rsid w:val="00F62977"/>
    <w:rsid w:val="00F62EF2"/>
    <w:rsid w:val="00F641F2"/>
    <w:rsid w:val="00F64B34"/>
    <w:rsid w:val="00F656E3"/>
    <w:rsid w:val="00F704F3"/>
    <w:rsid w:val="00F70C89"/>
    <w:rsid w:val="00F71034"/>
    <w:rsid w:val="00F7371F"/>
    <w:rsid w:val="00F73BFB"/>
    <w:rsid w:val="00F74D5A"/>
    <w:rsid w:val="00F76C81"/>
    <w:rsid w:val="00F77154"/>
    <w:rsid w:val="00F8077A"/>
    <w:rsid w:val="00F82F1D"/>
    <w:rsid w:val="00F8354D"/>
    <w:rsid w:val="00F854EA"/>
    <w:rsid w:val="00F90BC3"/>
    <w:rsid w:val="00F91266"/>
    <w:rsid w:val="00F91A20"/>
    <w:rsid w:val="00F93352"/>
    <w:rsid w:val="00F93F93"/>
    <w:rsid w:val="00F95E55"/>
    <w:rsid w:val="00F9636E"/>
    <w:rsid w:val="00FA2DF0"/>
    <w:rsid w:val="00FA356D"/>
    <w:rsid w:val="00FA4066"/>
    <w:rsid w:val="00FA4900"/>
    <w:rsid w:val="00FA4AE7"/>
    <w:rsid w:val="00FA4BD6"/>
    <w:rsid w:val="00FA583B"/>
    <w:rsid w:val="00FA70F7"/>
    <w:rsid w:val="00FA7597"/>
    <w:rsid w:val="00FA7EBA"/>
    <w:rsid w:val="00FB02F5"/>
    <w:rsid w:val="00FB1225"/>
    <w:rsid w:val="00FB19B4"/>
    <w:rsid w:val="00FB2B9F"/>
    <w:rsid w:val="00FB4D04"/>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4946"/>
    <w:rsid w:val="00FD6226"/>
    <w:rsid w:val="00FE1B0D"/>
    <w:rsid w:val="00FE2E6A"/>
    <w:rsid w:val="00FE5E06"/>
    <w:rsid w:val="00FE706C"/>
    <w:rsid w:val="00FF158B"/>
    <w:rsid w:val="00FF2C4A"/>
    <w:rsid w:val="00FF3A88"/>
    <w:rsid w:val="00FF3BC2"/>
    <w:rsid w:val="00FF7101"/>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9AA0"/>
  <w15:chartTrackingRefBased/>
  <w15:docId w15:val="{724B68BF-65B2-422A-A89C-A8BAFB09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742436898">
                  <w:marLeft w:val="0"/>
                  <w:marRight w:val="0"/>
                  <w:marTop w:val="0"/>
                  <w:marBottom w:val="0"/>
                  <w:divBdr>
                    <w:top w:val="none" w:sz="0" w:space="0" w:color="auto"/>
                    <w:left w:val="none" w:sz="0" w:space="0" w:color="auto"/>
                    <w:bottom w:val="none" w:sz="0" w:space="0" w:color="auto"/>
                    <w:right w:val="none" w:sz="0" w:space="0" w:color="auto"/>
                  </w:divBdr>
                </w:div>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1123185492">
          <w:marLeft w:val="0"/>
          <w:marRight w:val="0"/>
          <w:marTop w:val="0"/>
          <w:marBottom w:val="0"/>
          <w:divBdr>
            <w:top w:val="none" w:sz="0" w:space="0" w:color="auto"/>
            <w:left w:val="none" w:sz="0" w:space="0" w:color="auto"/>
            <w:bottom w:val="none" w:sz="0" w:space="0" w:color="auto"/>
            <w:right w:val="none" w:sz="0" w:space="0" w:color="auto"/>
          </w:divBdr>
        </w:div>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86055013">
          <w:marLeft w:val="0"/>
          <w:marRight w:val="0"/>
          <w:marTop w:val="0"/>
          <w:marBottom w:val="0"/>
          <w:divBdr>
            <w:top w:val="none" w:sz="0" w:space="0" w:color="auto"/>
            <w:left w:val="none" w:sz="0" w:space="0" w:color="auto"/>
            <w:bottom w:val="none" w:sz="0" w:space="0" w:color="auto"/>
            <w:right w:val="none" w:sz="0" w:space="0" w:color="auto"/>
          </w:divBdr>
        </w:div>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969125100">
                  <w:marLeft w:val="0"/>
                  <w:marRight w:val="0"/>
                  <w:marTop w:val="0"/>
                  <w:marBottom w:val="0"/>
                  <w:divBdr>
                    <w:top w:val="none" w:sz="0" w:space="0" w:color="auto"/>
                    <w:left w:val="none" w:sz="0" w:space="0" w:color="auto"/>
                    <w:bottom w:val="none" w:sz="0" w:space="0" w:color="auto"/>
                    <w:right w:val="none" w:sz="0" w:space="0" w:color="auto"/>
                  </w:divBdr>
                </w:div>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80043632">
                          <w:marLeft w:val="0"/>
                          <w:marRight w:val="0"/>
                          <w:marTop w:val="0"/>
                          <w:marBottom w:val="0"/>
                          <w:divBdr>
                            <w:top w:val="none" w:sz="0" w:space="0" w:color="auto"/>
                            <w:left w:val="none" w:sz="0" w:space="0" w:color="auto"/>
                            <w:bottom w:val="none" w:sz="0" w:space="0" w:color="auto"/>
                            <w:right w:val="none" w:sz="0" w:space="0" w:color="auto"/>
                          </w:divBdr>
                        </w:div>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932615009">
          <w:marLeft w:val="0"/>
          <w:marRight w:val="0"/>
          <w:marTop w:val="0"/>
          <w:marBottom w:val="300"/>
          <w:divBdr>
            <w:top w:val="none" w:sz="0" w:space="0" w:color="auto"/>
            <w:left w:val="none" w:sz="0" w:space="0" w:color="auto"/>
            <w:bottom w:val="none" w:sz="0" w:space="0" w:color="auto"/>
            <w:right w:val="none" w:sz="0" w:space="0" w:color="auto"/>
          </w:divBdr>
        </w:div>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922104008">
                  <w:marLeft w:val="0"/>
                  <w:marRight w:val="0"/>
                  <w:marTop w:val="0"/>
                  <w:marBottom w:val="0"/>
                  <w:divBdr>
                    <w:top w:val="none" w:sz="0" w:space="0" w:color="auto"/>
                    <w:left w:val="none" w:sz="0" w:space="0" w:color="auto"/>
                    <w:bottom w:val="none" w:sz="0" w:space="0" w:color="auto"/>
                    <w:right w:val="none" w:sz="0" w:space="0" w:color="auto"/>
                  </w:divBdr>
                </w:div>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1864394303">
                  <w:marLeft w:val="0"/>
                  <w:marRight w:val="0"/>
                  <w:marTop w:val="0"/>
                  <w:marBottom w:val="0"/>
                  <w:divBdr>
                    <w:top w:val="none" w:sz="0" w:space="0" w:color="auto"/>
                    <w:left w:val="none" w:sz="0" w:space="0" w:color="auto"/>
                    <w:bottom w:val="none" w:sz="0" w:space="0" w:color="auto"/>
                    <w:right w:val="none" w:sz="0" w:space="0" w:color="auto"/>
                  </w:divBdr>
                </w:div>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668090108">
                  <w:marLeft w:val="0"/>
                  <w:marRight w:val="0"/>
                  <w:marTop w:val="0"/>
                  <w:marBottom w:val="0"/>
                  <w:divBdr>
                    <w:top w:val="none" w:sz="0" w:space="0" w:color="auto"/>
                    <w:left w:val="none" w:sz="0" w:space="0" w:color="auto"/>
                    <w:bottom w:val="none" w:sz="0" w:space="0" w:color="auto"/>
                    <w:right w:val="none" w:sz="0" w:space="0" w:color="auto"/>
                  </w:divBdr>
                </w:div>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446506927">
          <w:marLeft w:val="0"/>
          <w:marRight w:val="0"/>
          <w:marTop w:val="0"/>
          <w:marBottom w:val="0"/>
          <w:divBdr>
            <w:top w:val="none" w:sz="0" w:space="0" w:color="auto"/>
            <w:left w:val="none" w:sz="0" w:space="0" w:color="auto"/>
            <w:bottom w:val="none" w:sz="0" w:space="0" w:color="auto"/>
            <w:right w:val="none" w:sz="0" w:space="0" w:color="auto"/>
          </w:divBdr>
        </w:div>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2137067732">
          <w:marLeft w:val="0"/>
          <w:marRight w:val="0"/>
          <w:marTop w:val="0"/>
          <w:marBottom w:val="300"/>
          <w:divBdr>
            <w:top w:val="none" w:sz="0" w:space="0" w:color="auto"/>
            <w:left w:val="none" w:sz="0" w:space="0" w:color="auto"/>
            <w:bottom w:val="none" w:sz="0" w:space="0" w:color="auto"/>
            <w:right w:val="none" w:sz="0" w:space="0" w:color="auto"/>
          </w:divBdr>
        </w:div>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760708526">
                  <w:marLeft w:val="0"/>
                  <w:marRight w:val="0"/>
                  <w:marTop w:val="0"/>
                  <w:marBottom w:val="0"/>
                  <w:divBdr>
                    <w:top w:val="none" w:sz="0" w:space="0" w:color="auto"/>
                    <w:left w:val="none" w:sz="0" w:space="0" w:color="auto"/>
                    <w:bottom w:val="none" w:sz="0" w:space="0" w:color="auto"/>
                    <w:right w:val="none" w:sz="0" w:space="0" w:color="auto"/>
                  </w:divBdr>
                </w:div>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1474954949">
          <w:marLeft w:val="0"/>
          <w:marRight w:val="0"/>
          <w:marTop w:val="0"/>
          <w:marBottom w:val="0"/>
          <w:divBdr>
            <w:top w:val="none" w:sz="0" w:space="0" w:color="auto"/>
            <w:left w:val="none" w:sz="0" w:space="0" w:color="auto"/>
            <w:bottom w:val="none" w:sz="0" w:space="0" w:color="auto"/>
            <w:right w:val="none" w:sz="0" w:space="0" w:color="auto"/>
          </w:divBdr>
        </w:div>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1975796467">
          <w:marLeft w:val="0"/>
          <w:marRight w:val="0"/>
          <w:marTop w:val="0"/>
          <w:marBottom w:val="300"/>
          <w:divBdr>
            <w:top w:val="none" w:sz="0" w:space="0" w:color="auto"/>
            <w:left w:val="none" w:sz="0" w:space="0" w:color="auto"/>
            <w:bottom w:val="none" w:sz="0" w:space="0" w:color="auto"/>
            <w:right w:val="none" w:sz="0" w:space="0" w:color="auto"/>
          </w:divBdr>
        </w:div>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81376453">
                  <w:marLeft w:val="0"/>
                  <w:marRight w:val="0"/>
                  <w:marTop w:val="0"/>
                  <w:marBottom w:val="300"/>
                  <w:divBdr>
                    <w:top w:val="none" w:sz="0" w:space="0" w:color="auto"/>
                    <w:left w:val="none" w:sz="0" w:space="0" w:color="auto"/>
                    <w:bottom w:val="none" w:sz="0" w:space="0" w:color="auto"/>
                    <w:right w:val="none" w:sz="0" w:space="0" w:color="auto"/>
                  </w:divBdr>
                </w:div>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58085312">
          <w:marLeft w:val="0"/>
          <w:marRight w:val="0"/>
          <w:marTop w:val="0"/>
          <w:marBottom w:val="0"/>
          <w:divBdr>
            <w:top w:val="none" w:sz="0" w:space="0" w:color="auto"/>
            <w:left w:val="none" w:sz="0" w:space="0" w:color="auto"/>
            <w:bottom w:val="none" w:sz="0" w:space="0" w:color="auto"/>
            <w:right w:val="none" w:sz="0" w:space="0" w:color="auto"/>
          </w:divBdr>
        </w:div>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1257716015">
                  <w:marLeft w:val="0"/>
                  <w:marRight w:val="0"/>
                  <w:marTop w:val="0"/>
                  <w:marBottom w:val="0"/>
                  <w:divBdr>
                    <w:top w:val="none" w:sz="0" w:space="0" w:color="auto"/>
                    <w:left w:val="none" w:sz="0" w:space="0" w:color="auto"/>
                    <w:bottom w:val="none" w:sz="0" w:space="0" w:color="auto"/>
                    <w:right w:val="none" w:sz="0" w:space="0" w:color="auto"/>
                  </w:divBdr>
                </w:div>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974918774">
          <w:marLeft w:val="0"/>
          <w:marRight w:val="0"/>
          <w:marTop w:val="0"/>
          <w:marBottom w:val="300"/>
          <w:divBdr>
            <w:top w:val="none" w:sz="0" w:space="0" w:color="auto"/>
            <w:left w:val="none" w:sz="0" w:space="0" w:color="auto"/>
            <w:bottom w:val="none" w:sz="0" w:space="0" w:color="auto"/>
            <w:right w:val="none" w:sz="0" w:space="0" w:color="auto"/>
          </w:divBdr>
        </w:div>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473477708">
                  <w:marLeft w:val="0"/>
                  <w:marRight w:val="0"/>
                  <w:marTop w:val="0"/>
                  <w:marBottom w:val="0"/>
                  <w:divBdr>
                    <w:top w:val="none" w:sz="0" w:space="0" w:color="auto"/>
                    <w:left w:val="none" w:sz="0" w:space="0" w:color="auto"/>
                    <w:bottom w:val="none" w:sz="0" w:space="0" w:color="auto"/>
                    <w:right w:val="none" w:sz="0" w:space="0" w:color="auto"/>
                  </w:divBdr>
                </w:div>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1777746286">
          <w:marLeft w:val="0"/>
          <w:marRight w:val="0"/>
          <w:marTop w:val="0"/>
          <w:marBottom w:val="300"/>
          <w:divBdr>
            <w:top w:val="none" w:sz="0" w:space="0" w:color="auto"/>
            <w:left w:val="none" w:sz="0" w:space="0" w:color="auto"/>
            <w:bottom w:val="none" w:sz="0" w:space="0" w:color="auto"/>
            <w:right w:val="none" w:sz="0" w:space="0" w:color="auto"/>
          </w:divBdr>
        </w:div>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1531336464">
                  <w:marLeft w:val="0"/>
                  <w:marRight w:val="0"/>
                  <w:marTop w:val="0"/>
                  <w:marBottom w:val="0"/>
                  <w:divBdr>
                    <w:top w:val="none" w:sz="0" w:space="0" w:color="auto"/>
                    <w:left w:val="none" w:sz="0" w:space="0" w:color="auto"/>
                    <w:bottom w:val="none" w:sz="0" w:space="0" w:color="auto"/>
                    <w:right w:val="none" w:sz="0" w:space="0" w:color="auto"/>
                  </w:divBdr>
                </w:div>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913276580">
                          <w:marLeft w:val="0"/>
                          <w:marRight w:val="0"/>
                          <w:marTop w:val="0"/>
                          <w:marBottom w:val="0"/>
                          <w:divBdr>
                            <w:top w:val="none" w:sz="0" w:space="0" w:color="auto"/>
                            <w:left w:val="none" w:sz="0" w:space="0" w:color="auto"/>
                            <w:bottom w:val="none" w:sz="0" w:space="0" w:color="auto"/>
                            <w:right w:val="none" w:sz="0" w:space="0" w:color="auto"/>
                          </w:divBdr>
                        </w:div>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419255299">
          <w:marLeft w:val="0"/>
          <w:marRight w:val="0"/>
          <w:marTop w:val="0"/>
          <w:marBottom w:val="300"/>
          <w:divBdr>
            <w:top w:val="none" w:sz="0" w:space="0" w:color="auto"/>
            <w:left w:val="none" w:sz="0" w:space="0" w:color="auto"/>
            <w:bottom w:val="none" w:sz="0" w:space="0" w:color="auto"/>
            <w:right w:val="none" w:sz="0" w:space="0" w:color="auto"/>
          </w:divBdr>
        </w:div>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1711609004">
                  <w:marLeft w:val="0"/>
                  <w:marRight w:val="0"/>
                  <w:marTop w:val="0"/>
                  <w:marBottom w:val="0"/>
                  <w:divBdr>
                    <w:top w:val="none" w:sz="0" w:space="0" w:color="auto"/>
                    <w:left w:val="none" w:sz="0" w:space="0" w:color="auto"/>
                    <w:bottom w:val="none" w:sz="0" w:space="0" w:color="auto"/>
                    <w:right w:val="none" w:sz="0" w:space="0" w:color="auto"/>
                  </w:divBdr>
                </w:div>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1492477802">
          <w:marLeft w:val="0"/>
          <w:marRight w:val="0"/>
          <w:marTop w:val="0"/>
          <w:marBottom w:val="300"/>
          <w:divBdr>
            <w:top w:val="none" w:sz="0" w:space="0" w:color="auto"/>
            <w:left w:val="none" w:sz="0" w:space="0" w:color="auto"/>
            <w:bottom w:val="none" w:sz="0" w:space="0" w:color="auto"/>
            <w:right w:val="none" w:sz="0" w:space="0" w:color="auto"/>
          </w:divBdr>
        </w:div>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2025396722">
                  <w:marLeft w:val="0"/>
                  <w:marRight w:val="0"/>
                  <w:marTop w:val="0"/>
                  <w:marBottom w:val="0"/>
                  <w:divBdr>
                    <w:top w:val="none" w:sz="0" w:space="0" w:color="auto"/>
                    <w:left w:val="none" w:sz="0" w:space="0" w:color="auto"/>
                    <w:bottom w:val="none" w:sz="0" w:space="0" w:color="auto"/>
                    <w:right w:val="none" w:sz="0" w:space="0" w:color="auto"/>
                  </w:divBdr>
                </w:div>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1053426960">
          <w:marLeft w:val="0"/>
          <w:marRight w:val="0"/>
          <w:marTop w:val="0"/>
          <w:marBottom w:val="300"/>
          <w:divBdr>
            <w:top w:val="none" w:sz="0" w:space="0" w:color="auto"/>
            <w:left w:val="none" w:sz="0" w:space="0" w:color="auto"/>
            <w:bottom w:val="none" w:sz="0" w:space="0" w:color="auto"/>
            <w:right w:val="none" w:sz="0" w:space="0" w:color="auto"/>
          </w:divBdr>
        </w:div>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976134475">
                  <w:marLeft w:val="0"/>
                  <w:marRight w:val="0"/>
                  <w:marTop w:val="0"/>
                  <w:marBottom w:val="0"/>
                  <w:divBdr>
                    <w:top w:val="none" w:sz="0" w:space="0" w:color="auto"/>
                    <w:left w:val="none" w:sz="0" w:space="0" w:color="auto"/>
                    <w:bottom w:val="none" w:sz="0" w:space="0" w:color="auto"/>
                    <w:right w:val="none" w:sz="0" w:space="0" w:color="auto"/>
                  </w:divBdr>
                </w:div>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1703941089">
          <w:marLeft w:val="0"/>
          <w:marRight w:val="0"/>
          <w:marTop w:val="0"/>
          <w:marBottom w:val="300"/>
          <w:divBdr>
            <w:top w:val="none" w:sz="0" w:space="0" w:color="auto"/>
            <w:left w:val="none" w:sz="0" w:space="0" w:color="auto"/>
            <w:bottom w:val="none" w:sz="0" w:space="0" w:color="auto"/>
            <w:right w:val="none" w:sz="0" w:space="0" w:color="auto"/>
          </w:divBdr>
        </w:div>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1027949736">
          <w:marLeft w:val="0"/>
          <w:marRight w:val="0"/>
          <w:marTop w:val="0"/>
          <w:marBottom w:val="0"/>
          <w:divBdr>
            <w:top w:val="none" w:sz="0" w:space="0" w:color="auto"/>
            <w:left w:val="none" w:sz="0" w:space="0" w:color="auto"/>
            <w:bottom w:val="none" w:sz="0" w:space="0" w:color="auto"/>
            <w:right w:val="none" w:sz="0" w:space="0" w:color="auto"/>
          </w:divBdr>
        </w:div>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1468205952">
                  <w:marLeft w:val="0"/>
                  <w:marRight w:val="0"/>
                  <w:marTop w:val="0"/>
                  <w:marBottom w:val="0"/>
                  <w:divBdr>
                    <w:top w:val="none" w:sz="0" w:space="0" w:color="auto"/>
                    <w:left w:val="none" w:sz="0" w:space="0" w:color="auto"/>
                    <w:bottom w:val="none" w:sz="0" w:space="0" w:color="auto"/>
                    <w:right w:val="none" w:sz="0" w:space="0" w:color="auto"/>
                  </w:divBdr>
                </w:div>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949893595">
          <w:marLeft w:val="0"/>
          <w:marRight w:val="0"/>
          <w:marTop w:val="0"/>
          <w:marBottom w:val="0"/>
          <w:divBdr>
            <w:top w:val="none" w:sz="0" w:space="0" w:color="auto"/>
            <w:left w:val="none" w:sz="0" w:space="0" w:color="auto"/>
            <w:bottom w:val="none" w:sz="0" w:space="0" w:color="auto"/>
            <w:right w:val="none" w:sz="0" w:space="0" w:color="auto"/>
          </w:divBdr>
        </w:div>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1538350775">
                          <w:marLeft w:val="0"/>
                          <w:marRight w:val="0"/>
                          <w:marTop w:val="0"/>
                          <w:marBottom w:val="0"/>
                          <w:divBdr>
                            <w:top w:val="none" w:sz="0" w:space="0" w:color="auto"/>
                            <w:left w:val="none" w:sz="0" w:space="0" w:color="auto"/>
                            <w:bottom w:val="none" w:sz="0" w:space="0" w:color="auto"/>
                            <w:right w:val="none" w:sz="0" w:space="0" w:color="auto"/>
                          </w:divBdr>
                        </w:div>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56771914">
          <w:marLeft w:val="0"/>
          <w:marRight w:val="0"/>
          <w:marTop w:val="0"/>
          <w:marBottom w:val="300"/>
          <w:divBdr>
            <w:top w:val="none" w:sz="0" w:space="0" w:color="auto"/>
            <w:left w:val="none" w:sz="0" w:space="0" w:color="auto"/>
            <w:bottom w:val="none" w:sz="0" w:space="0" w:color="auto"/>
            <w:right w:val="none" w:sz="0" w:space="0" w:color="auto"/>
          </w:divBdr>
        </w:div>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702196607">
                  <w:marLeft w:val="0"/>
                  <w:marRight w:val="0"/>
                  <w:marTop w:val="0"/>
                  <w:marBottom w:val="0"/>
                  <w:divBdr>
                    <w:top w:val="none" w:sz="0" w:space="0" w:color="auto"/>
                    <w:left w:val="none" w:sz="0" w:space="0" w:color="auto"/>
                    <w:bottom w:val="none" w:sz="0" w:space="0" w:color="auto"/>
                    <w:right w:val="none" w:sz="0" w:space="0" w:color="auto"/>
                  </w:divBdr>
                </w:div>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230071653">
          <w:marLeft w:val="0"/>
          <w:marRight w:val="0"/>
          <w:marTop w:val="0"/>
          <w:marBottom w:val="300"/>
          <w:divBdr>
            <w:top w:val="none" w:sz="0" w:space="0" w:color="auto"/>
            <w:left w:val="none" w:sz="0" w:space="0" w:color="auto"/>
            <w:bottom w:val="none" w:sz="0" w:space="0" w:color="auto"/>
            <w:right w:val="none" w:sz="0" w:space="0" w:color="auto"/>
          </w:divBdr>
        </w:div>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1838227793">
                  <w:marLeft w:val="0"/>
                  <w:marRight w:val="0"/>
                  <w:marTop w:val="0"/>
                  <w:marBottom w:val="0"/>
                  <w:divBdr>
                    <w:top w:val="none" w:sz="0" w:space="0" w:color="auto"/>
                    <w:left w:val="none" w:sz="0" w:space="0" w:color="auto"/>
                    <w:bottom w:val="none" w:sz="0" w:space="0" w:color="auto"/>
                    <w:right w:val="none" w:sz="0" w:space="0" w:color="auto"/>
                  </w:divBdr>
                </w:div>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1200558014">
          <w:marLeft w:val="0"/>
          <w:marRight w:val="0"/>
          <w:marTop w:val="0"/>
          <w:marBottom w:val="0"/>
          <w:divBdr>
            <w:top w:val="none" w:sz="0" w:space="0" w:color="auto"/>
            <w:left w:val="none" w:sz="0" w:space="0" w:color="auto"/>
            <w:bottom w:val="none" w:sz="0" w:space="0" w:color="auto"/>
            <w:right w:val="none" w:sz="0" w:space="0" w:color="auto"/>
          </w:divBdr>
        </w:div>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1446582940">
          <w:marLeft w:val="0"/>
          <w:marRight w:val="0"/>
          <w:marTop w:val="0"/>
          <w:marBottom w:val="0"/>
          <w:divBdr>
            <w:top w:val="none" w:sz="0" w:space="0" w:color="auto"/>
            <w:left w:val="none" w:sz="0" w:space="0" w:color="auto"/>
            <w:bottom w:val="none" w:sz="0" w:space="0" w:color="auto"/>
            <w:right w:val="none" w:sz="0" w:space="0" w:color="auto"/>
          </w:divBdr>
        </w:div>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2096393879">
          <w:marLeft w:val="0"/>
          <w:marRight w:val="0"/>
          <w:marTop w:val="0"/>
          <w:marBottom w:val="0"/>
          <w:divBdr>
            <w:top w:val="none" w:sz="0" w:space="0" w:color="auto"/>
            <w:left w:val="none" w:sz="0" w:space="0" w:color="auto"/>
            <w:bottom w:val="none" w:sz="0" w:space="0" w:color="auto"/>
            <w:right w:val="none" w:sz="0" w:space="0" w:color="auto"/>
          </w:divBdr>
        </w:div>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881476890">
          <w:marLeft w:val="0"/>
          <w:marRight w:val="0"/>
          <w:marTop w:val="0"/>
          <w:marBottom w:val="0"/>
          <w:divBdr>
            <w:top w:val="none" w:sz="0" w:space="0" w:color="auto"/>
            <w:left w:val="none" w:sz="0" w:space="0" w:color="auto"/>
            <w:bottom w:val="none" w:sz="0" w:space="0" w:color="auto"/>
            <w:right w:val="none" w:sz="0" w:space="0" w:color="auto"/>
          </w:divBdr>
        </w:div>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62009343">
          <w:marLeft w:val="0"/>
          <w:marRight w:val="0"/>
          <w:marTop w:val="0"/>
          <w:marBottom w:val="0"/>
          <w:divBdr>
            <w:top w:val="none" w:sz="0" w:space="0" w:color="auto"/>
            <w:left w:val="none" w:sz="0" w:space="0" w:color="auto"/>
            <w:bottom w:val="none" w:sz="0" w:space="0" w:color="auto"/>
            <w:right w:val="none" w:sz="0" w:space="0" w:color="auto"/>
          </w:divBdr>
        </w:div>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1984844335">
          <w:marLeft w:val="0"/>
          <w:marRight w:val="0"/>
          <w:marTop w:val="0"/>
          <w:marBottom w:val="0"/>
          <w:divBdr>
            <w:top w:val="none" w:sz="0" w:space="0" w:color="auto"/>
            <w:left w:val="none" w:sz="0" w:space="0" w:color="auto"/>
            <w:bottom w:val="none" w:sz="0" w:space="0" w:color="auto"/>
            <w:right w:val="none" w:sz="0" w:space="0" w:color="auto"/>
          </w:divBdr>
        </w:div>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823690988">
          <w:marLeft w:val="0"/>
          <w:marRight w:val="0"/>
          <w:marTop w:val="0"/>
          <w:marBottom w:val="0"/>
          <w:divBdr>
            <w:top w:val="none" w:sz="0" w:space="0" w:color="auto"/>
            <w:left w:val="none" w:sz="0" w:space="0" w:color="auto"/>
            <w:bottom w:val="none" w:sz="0" w:space="0" w:color="auto"/>
            <w:right w:val="none" w:sz="0" w:space="0" w:color="auto"/>
          </w:divBdr>
        </w:div>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336415729">
          <w:marLeft w:val="0"/>
          <w:marRight w:val="0"/>
          <w:marTop w:val="0"/>
          <w:marBottom w:val="0"/>
          <w:divBdr>
            <w:top w:val="none" w:sz="0" w:space="0" w:color="auto"/>
            <w:left w:val="none" w:sz="0" w:space="0" w:color="auto"/>
            <w:bottom w:val="none" w:sz="0" w:space="0" w:color="auto"/>
            <w:right w:val="none" w:sz="0" w:space="0" w:color="auto"/>
          </w:divBdr>
        </w:div>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715660256">
                  <w:marLeft w:val="0"/>
                  <w:marRight w:val="0"/>
                  <w:marTop w:val="0"/>
                  <w:marBottom w:val="0"/>
                  <w:divBdr>
                    <w:top w:val="none" w:sz="0" w:space="0" w:color="auto"/>
                    <w:left w:val="none" w:sz="0" w:space="0" w:color="auto"/>
                    <w:bottom w:val="none" w:sz="0" w:space="0" w:color="auto"/>
                    <w:right w:val="none" w:sz="0" w:space="0" w:color="auto"/>
                  </w:divBdr>
                </w:div>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56390105">
          <w:marLeft w:val="0"/>
          <w:marRight w:val="0"/>
          <w:marTop w:val="0"/>
          <w:marBottom w:val="0"/>
          <w:divBdr>
            <w:top w:val="none" w:sz="0" w:space="0" w:color="auto"/>
            <w:left w:val="none" w:sz="0" w:space="0" w:color="auto"/>
            <w:bottom w:val="none" w:sz="0" w:space="0" w:color="auto"/>
            <w:right w:val="none" w:sz="0" w:space="0" w:color="auto"/>
          </w:divBdr>
        </w:div>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1579948684">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9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639383846">
          <w:marLeft w:val="0"/>
          <w:marRight w:val="0"/>
          <w:marTop w:val="0"/>
          <w:marBottom w:val="0"/>
          <w:divBdr>
            <w:top w:val="none" w:sz="0" w:space="0" w:color="auto"/>
            <w:left w:val="none" w:sz="0" w:space="0" w:color="auto"/>
            <w:bottom w:val="none" w:sz="0" w:space="0" w:color="auto"/>
            <w:right w:val="none" w:sz="0" w:space="0" w:color="auto"/>
          </w:divBdr>
        </w:div>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491532111">
                  <w:marLeft w:val="0"/>
                  <w:marRight w:val="0"/>
                  <w:marTop w:val="0"/>
                  <w:marBottom w:val="0"/>
                  <w:divBdr>
                    <w:top w:val="none" w:sz="0" w:space="0" w:color="auto"/>
                    <w:left w:val="none" w:sz="0" w:space="0" w:color="auto"/>
                    <w:bottom w:val="none" w:sz="0" w:space="0" w:color="auto"/>
                    <w:right w:val="none" w:sz="0" w:space="0" w:color="auto"/>
                  </w:divBdr>
                </w:div>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4">
          <w:marLeft w:val="0"/>
          <w:marRight w:val="0"/>
          <w:marTop w:val="0"/>
          <w:marBottom w:val="0"/>
          <w:divBdr>
            <w:top w:val="none" w:sz="0" w:space="0" w:color="auto"/>
            <w:left w:val="none" w:sz="0" w:space="0" w:color="auto"/>
            <w:bottom w:val="none" w:sz="0" w:space="0" w:color="auto"/>
            <w:right w:val="none" w:sz="0" w:space="0" w:color="auto"/>
          </w:divBdr>
        </w:div>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680038435">
          <w:marLeft w:val="0"/>
          <w:marRight w:val="0"/>
          <w:marTop w:val="0"/>
          <w:marBottom w:val="0"/>
          <w:divBdr>
            <w:top w:val="none" w:sz="0" w:space="0" w:color="auto"/>
            <w:left w:val="none" w:sz="0" w:space="0" w:color="auto"/>
            <w:bottom w:val="none" w:sz="0" w:space="0" w:color="auto"/>
            <w:right w:val="none" w:sz="0" w:space="0" w:color="auto"/>
          </w:divBdr>
        </w:div>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656416132">
          <w:marLeft w:val="0"/>
          <w:marRight w:val="0"/>
          <w:marTop w:val="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21245651">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2113278399">
          <w:marLeft w:val="0"/>
          <w:marRight w:val="0"/>
          <w:marTop w:val="0"/>
          <w:marBottom w:val="0"/>
          <w:divBdr>
            <w:top w:val="none" w:sz="0" w:space="0" w:color="auto"/>
            <w:left w:val="none" w:sz="0" w:space="0" w:color="auto"/>
            <w:bottom w:val="none" w:sz="0" w:space="0" w:color="auto"/>
            <w:right w:val="none" w:sz="0" w:space="0" w:color="auto"/>
          </w:divBdr>
        </w:div>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1988700672">
          <w:marLeft w:val="0"/>
          <w:marRight w:val="0"/>
          <w:marTop w:val="0"/>
          <w:marBottom w:val="0"/>
          <w:divBdr>
            <w:top w:val="none" w:sz="0" w:space="0" w:color="auto"/>
            <w:left w:val="none" w:sz="0" w:space="0" w:color="auto"/>
            <w:bottom w:val="none" w:sz="0" w:space="0" w:color="auto"/>
            <w:right w:val="none" w:sz="0" w:space="0" w:color="auto"/>
          </w:divBdr>
        </w:div>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649750641">
                  <w:marLeft w:val="0"/>
                  <w:marRight w:val="0"/>
                  <w:marTop w:val="0"/>
                  <w:marBottom w:val="0"/>
                  <w:divBdr>
                    <w:top w:val="none" w:sz="0" w:space="0" w:color="auto"/>
                    <w:left w:val="none" w:sz="0" w:space="0" w:color="auto"/>
                    <w:bottom w:val="single" w:sz="6" w:space="18" w:color="D7DCD8"/>
                    <w:right w:val="none" w:sz="0" w:space="0" w:color="auto"/>
                  </w:divBdr>
                </w:div>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1732076440">
                  <w:marLeft w:val="0"/>
                  <w:marRight w:val="0"/>
                  <w:marTop w:val="0"/>
                  <w:marBottom w:val="0"/>
                  <w:divBdr>
                    <w:top w:val="none" w:sz="0" w:space="0" w:color="auto"/>
                    <w:left w:val="none" w:sz="0" w:space="0" w:color="auto"/>
                    <w:bottom w:val="none" w:sz="0" w:space="0" w:color="auto"/>
                    <w:right w:val="none" w:sz="0" w:space="0" w:color="auto"/>
                  </w:divBdr>
                </w:div>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116292381">
          <w:marLeft w:val="0"/>
          <w:marRight w:val="0"/>
          <w:marTop w:val="0"/>
          <w:marBottom w:val="0"/>
          <w:divBdr>
            <w:top w:val="none" w:sz="0" w:space="0" w:color="auto"/>
            <w:left w:val="none" w:sz="0" w:space="0" w:color="auto"/>
            <w:bottom w:val="none" w:sz="0" w:space="0" w:color="auto"/>
            <w:right w:val="none" w:sz="0" w:space="0" w:color="auto"/>
          </w:divBdr>
        </w:div>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1486630139">
                          <w:marLeft w:val="0"/>
                          <w:marRight w:val="0"/>
                          <w:marTop w:val="0"/>
                          <w:marBottom w:val="0"/>
                          <w:divBdr>
                            <w:top w:val="none" w:sz="0" w:space="0" w:color="auto"/>
                            <w:left w:val="none" w:sz="0" w:space="0" w:color="auto"/>
                            <w:bottom w:val="none" w:sz="0" w:space="0" w:color="auto"/>
                            <w:right w:val="none" w:sz="0" w:space="0" w:color="auto"/>
                          </w:divBdr>
                        </w:div>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1246063935">
          <w:marLeft w:val="0"/>
          <w:marRight w:val="0"/>
          <w:marTop w:val="0"/>
          <w:marBottom w:val="300"/>
          <w:divBdr>
            <w:top w:val="none" w:sz="0" w:space="0" w:color="auto"/>
            <w:left w:val="none" w:sz="0" w:space="0" w:color="auto"/>
            <w:bottom w:val="none" w:sz="0" w:space="0" w:color="auto"/>
            <w:right w:val="none" w:sz="0" w:space="0" w:color="auto"/>
          </w:divBdr>
        </w:div>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994067670">
          <w:marLeft w:val="0"/>
          <w:marRight w:val="0"/>
          <w:marTop w:val="0"/>
          <w:marBottom w:val="300"/>
          <w:divBdr>
            <w:top w:val="none" w:sz="0" w:space="0" w:color="auto"/>
            <w:left w:val="none" w:sz="0" w:space="0" w:color="auto"/>
            <w:bottom w:val="none" w:sz="0" w:space="0" w:color="auto"/>
            <w:right w:val="none" w:sz="0" w:space="0" w:color="auto"/>
          </w:divBdr>
        </w:div>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1803188763">
                  <w:marLeft w:val="0"/>
                  <w:marRight w:val="0"/>
                  <w:marTop w:val="0"/>
                  <w:marBottom w:val="0"/>
                  <w:divBdr>
                    <w:top w:val="none" w:sz="0" w:space="0" w:color="auto"/>
                    <w:left w:val="none" w:sz="0" w:space="0" w:color="auto"/>
                    <w:bottom w:val="none" w:sz="0" w:space="0" w:color="auto"/>
                    <w:right w:val="none" w:sz="0" w:space="0" w:color="auto"/>
                  </w:divBdr>
                </w:div>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2013725935">
          <w:marLeft w:val="0"/>
          <w:marRight w:val="0"/>
          <w:marTop w:val="0"/>
          <w:marBottom w:val="0"/>
          <w:divBdr>
            <w:top w:val="none" w:sz="0" w:space="0" w:color="auto"/>
            <w:left w:val="none" w:sz="0" w:space="0" w:color="auto"/>
            <w:bottom w:val="none" w:sz="0" w:space="0" w:color="auto"/>
            <w:right w:val="none" w:sz="0" w:space="0" w:color="auto"/>
          </w:divBdr>
        </w:div>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380130183">
                  <w:marLeft w:val="0"/>
                  <w:marRight w:val="0"/>
                  <w:marTop w:val="0"/>
                  <w:marBottom w:val="0"/>
                  <w:divBdr>
                    <w:top w:val="none" w:sz="0" w:space="0" w:color="auto"/>
                    <w:left w:val="none" w:sz="0" w:space="0" w:color="auto"/>
                    <w:bottom w:val="none" w:sz="0" w:space="0" w:color="auto"/>
                    <w:right w:val="none" w:sz="0" w:space="0" w:color="auto"/>
                  </w:divBdr>
                </w:div>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852910728">
          <w:marLeft w:val="0"/>
          <w:marRight w:val="0"/>
          <w:marTop w:val="0"/>
          <w:marBottom w:val="0"/>
          <w:divBdr>
            <w:top w:val="none" w:sz="0" w:space="0" w:color="auto"/>
            <w:left w:val="none" w:sz="0" w:space="0" w:color="auto"/>
            <w:bottom w:val="none" w:sz="0" w:space="0" w:color="auto"/>
            <w:right w:val="none" w:sz="0" w:space="0" w:color="auto"/>
          </w:divBdr>
        </w:div>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542985093">
                  <w:marLeft w:val="0"/>
                  <w:marRight w:val="0"/>
                  <w:marTop w:val="0"/>
                  <w:marBottom w:val="0"/>
                  <w:divBdr>
                    <w:top w:val="none" w:sz="0" w:space="0" w:color="auto"/>
                    <w:left w:val="none" w:sz="0" w:space="0" w:color="auto"/>
                    <w:bottom w:val="none" w:sz="0" w:space="0" w:color="auto"/>
                    <w:right w:val="none" w:sz="0" w:space="0" w:color="auto"/>
                  </w:divBdr>
                </w:div>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2118478890">
                  <w:marLeft w:val="0"/>
                  <w:marRight w:val="0"/>
                  <w:marTop w:val="0"/>
                  <w:marBottom w:val="0"/>
                  <w:divBdr>
                    <w:top w:val="none" w:sz="0" w:space="0" w:color="auto"/>
                    <w:left w:val="none" w:sz="0" w:space="0" w:color="auto"/>
                    <w:bottom w:val="none" w:sz="0" w:space="0" w:color="auto"/>
                    <w:right w:val="none" w:sz="0" w:space="0" w:color="auto"/>
                  </w:divBdr>
                </w:div>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976958503">
          <w:marLeft w:val="0"/>
          <w:marRight w:val="0"/>
          <w:marTop w:val="0"/>
          <w:marBottom w:val="300"/>
          <w:divBdr>
            <w:top w:val="none" w:sz="0" w:space="0" w:color="auto"/>
            <w:left w:val="none" w:sz="0" w:space="0" w:color="auto"/>
            <w:bottom w:val="none" w:sz="0" w:space="0" w:color="auto"/>
            <w:right w:val="none" w:sz="0" w:space="0" w:color="auto"/>
          </w:divBdr>
        </w:div>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2123302538">
                  <w:marLeft w:val="0"/>
                  <w:marRight w:val="0"/>
                  <w:marTop w:val="0"/>
                  <w:marBottom w:val="0"/>
                  <w:divBdr>
                    <w:top w:val="none" w:sz="0" w:space="0" w:color="auto"/>
                    <w:left w:val="none" w:sz="0" w:space="0" w:color="auto"/>
                    <w:bottom w:val="none" w:sz="0" w:space="0" w:color="auto"/>
                    <w:right w:val="none" w:sz="0" w:space="0" w:color="auto"/>
                  </w:divBdr>
                </w:div>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1667244477">
          <w:marLeft w:val="0"/>
          <w:marRight w:val="0"/>
          <w:marTop w:val="0"/>
          <w:marBottom w:val="300"/>
          <w:divBdr>
            <w:top w:val="none" w:sz="0" w:space="0" w:color="auto"/>
            <w:left w:val="none" w:sz="0" w:space="0" w:color="auto"/>
            <w:bottom w:val="none" w:sz="0" w:space="0" w:color="auto"/>
            <w:right w:val="none" w:sz="0" w:space="0" w:color="auto"/>
          </w:divBdr>
        </w:div>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1444614912">
                  <w:marLeft w:val="0"/>
                  <w:marRight w:val="0"/>
                  <w:marTop w:val="0"/>
                  <w:marBottom w:val="0"/>
                  <w:divBdr>
                    <w:top w:val="none" w:sz="0" w:space="0" w:color="auto"/>
                    <w:left w:val="none" w:sz="0" w:space="0" w:color="auto"/>
                    <w:bottom w:val="none" w:sz="0" w:space="0" w:color="auto"/>
                    <w:right w:val="none" w:sz="0" w:space="0" w:color="auto"/>
                  </w:divBdr>
                </w:div>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452483674">
          <w:marLeft w:val="0"/>
          <w:marRight w:val="0"/>
          <w:marTop w:val="0"/>
          <w:marBottom w:val="0"/>
          <w:divBdr>
            <w:top w:val="none" w:sz="0" w:space="0" w:color="auto"/>
            <w:left w:val="none" w:sz="0" w:space="0" w:color="auto"/>
            <w:bottom w:val="none" w:sz="0" w:space="0" w:color="auto"/>
            <w:right w:val="none" w:sz="0" w:space="0" w:color="auto"/>
          </w:divBdr>
        </w:div>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1661931541">
          <w:marLeft w:val="0"/>
          <w:marRight w:val="0"/>
          <w:marTop w:val="0"/>
          <w:marBottom w:val="300"/>
          <w:divBdr>
            <w:top w:val="none" w:sz="0" w:space="0" w:color="auto"/>
            <w:left w:val="none" w:sz="0" w:space="0" w:color="auto"/>
            <w:bottom w:val="none" w:sz="0" w:space="0" w:color="auto"/>
            <w:right w:val="none" w:sz="0" w:space="0" w:color="auto"/>
          </w:divBdr>
        </w:div>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738824876">
          <w:marLeft w:val="0"/>
          <w:marRight w:val="0"/>
          <w:marTop w:val="0"/>
          <w:marBottom w:val="0"/>
          <w:divBdr>
            <w:top w:val="none" w:sz="0" w:space="0" w:color="auto"/>
            <w:left w:val="none" w:sz="0" w:space="0" w:color="auto"/>
            <w:bottom w:val="none" w:sz="0" w:space="0" w:color="auto"/>
            <w:right w:val="none" w:sz="0" w:space="0" w:color="auto"/>
          </w:divBdr>
        </w:div>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1515463732">
          <w:marLeft w:val="0"/>
          <w:marRight w:val="0"/>
          <w:marTop w:val="0"/>
          <w:marBottom w:val="0"/>
          <w:divBdr>
            <w:top w:val="none" w:sz="0" w:space="0" w:color="auto"/>
            <w:left w:val="none" w:sz="0" w:space="0" w:color="auto"/>
            <w:bottom w:val="none" w:sz="0" w:space="0" w:color="auto"/>
            <w:right w:val="none" w:sz="0" w:space="0" w:color="auto"/>
          </w:divBdr>
        </w:div>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3660</Words>
  <Characters>19770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2016-11-18T19:18:00Z</dcterms:created>
  <dcterms:modified xsi:type="dcterms:W3CDTF">2016-11-18T19:19:00Z</dcterms:modified>
</cp:coreProperties>
</file>