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w:t>
      </w:r>
      <w:r w:rsidR="0064615F">
        <w:rPr>
          <w:b/>
          <w:sz w:val="24"/>
          <w:szCs w:val="24"/>
        </w:rPr>
        <w:t>5</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FD33B2" w:rsidRDefault="00FD33B2" w:rsidP="00A0419E">
      <w:pPr>
        <w:rPr>
          <w:sz w:val="24"/>
          <w:szCs w:val="24"/>
        </w:rPr>
      </w:pPr>
    </w:p>
    <w:p w:rsidR="00CD424D" w:rsidRDefault="00CD424D" w:rsidP="00CD424D">
      <w:pPr>
        <w:shd w:val="clear" w:color="auto" w:fill="FFFFFF"/>
        <w:spacing w:after="0" w:line="240" w:lineRule="auto"/>
        <w:rPr>
          <w:sz w:val="24"/>
          <w:szCs w:val="24"/>
        </w:rPr>
      </w:pPr>
    </w:p>
    <w:p w:rsidR="00CD424D" w:rsidRPr="00CD424D" w:rsidRDefault="00CD424D" w:rsidP="00CD424D">
      <w:pPr>
        <w:shd w:val="clear" w:color="auto" w:fill="FFFFFF"/>
        <w:spacing w:after="0" w:line="240" w:lineRule="auto"/>
        <w:rPr>
          <w:sz w:val="24"/>
          <w:szCs w:val="24"/>
        </w:rPr>
      </w:pPr>
    </w:p>
    <w:p w:rsidR="006F0870" w:rsidRPr="00FB0322" w:rsidRDefault="00A31820" w:rsidP="006F0870">
      <w:pPr>
        <w:shd w:val="clear" w:color="auto" w:fill="FFFFFF"/>
        <w:spacing w:after="0" w:line="240" w:lineRule="auto"/>
        <w:rPr>
          <w:rFonts w:eastAsia="Times New Roman" w:cs="Arial"/>
          <w:color w:val="222222"/>
          <w:sz w:val="24"/>
          <w:szCs w:val="24"/>
          <w:lang w:eastAsia="pt-BR"/>
        </w:rPr>
      </w:pPr>
      <w:r>
        <w:rPr>
          <w:rFonts w:ascii="Calibri" w:hAnsi="Calibri"/>
          <w:b/>
          <w:bCs/>
          <w:color w:val="222222"/>
          <w:sz w:val="24"/>
          <w:szCs w:val="24"/>
        </w:rPr>
        <w:t>FIOS DE NÁILON</w:t>
      </w:r>
      <w:r w:rsidR="006F0870" w:rsidRPr="00FB0322">
        <w:rPr>
          <w:rFonts w:ascii="Calibri" w:hAnsi="Calibri"/>
          <w:b/>
          <w:bCs/>
          <w:color w:val="222222"/>
          <w:sz w:val="24"/>
          <w:szCs w:val="24"/>
        </w:rPr>
        <w:t xml:space="preserve"> (NCM </w:t>
      </w:r>
      <w:r w:rsidRPr="00A31820">
        <w:rPr>
          <w:b/>
          <w:sz w:val="24"/>
          <w:szCs w:val="24"/>
        </w:rPr>
        <w:t>5402.31.11, 5402.31.19 e 5402.45.20</w:t>
      </w:r>
      <w:r w:rsidR="006F0870" w:rsidRPr="00FB0322">
        <w:rPr>
          <w:rFonts w:ascii="Calibri" w:hAnsi="Calibri"/>
          <w:b/>
          <w:bCs/>
          <w:color w:val="000000"/>
          <w:sz w:val="24"/>
          <w:szCs w:val="24"/>
        </w:rPr>
        <w:t>)</w:t>
      </w:r>
      <w:r w:rsidR="006F0870" w:rsidRPr="00FB0322">
        <w:rPr>
          <w:rFonts w:ascii="Calibri" w:hAnsi="Calibri"/>
          <w:b/>
          <w:bCs/>
          <w:color w:val="222222"/>
          <w:sz w:val="24"/>
          <w:szCs w:val="24"/>
        </w:rPr>
        <w:t> –</w:t>
      </w:r>
      <w:r w:rsidR="006F0870" w:rsidRPr="00FB0322">
        <w:rPr>
          <w:rFonts w:ascii="Calibri" w:hAnsi="Calibri"/>
          <w:color w:val="222222"/>
          <w:sz w:val="24"/>
          <w:szCs w:val="24"/>
        </w:rPr>
        <w:t> A SECEX</w:t>
      </w:r>
      <w:r>
        <w:rPr>
          <w:sz w:val="24"/>
          <w:szCs w:val="24"/>
        </w:rPr>
        <w:t xml:space="preserve"> d</w:t>
      </w:r>
      <w:r w:rsidRPr="00A31820">
        <w:rPr>
          <w:sz w:val="24"/>
          <w:szCs w:val="24"/>
        </w:rPr>
        <w:t>eclar</w:t>
      </w:r>
      <w:r>
        <w:rPr>
          <w:sz w:val="24"/>
          <w:szCs w:val="24"/>
        </w:rPr>
        <w:t>ou</w:t>
      </w:r>
      <w:r w:rsidRPr="00A31820">
        <w:rPr>
          <w:sz w:val="24"/>
          <w:szCs w:val="24"/>
        </w:rPr>
        <w:t xml:space="preserve"> nulo o ato de início da revisão de final de período do direito antidumping aplicado sobre as importações de fios de náilon originárias especificamente da Tailândia, mantendo seus efeitos inalterados para as demais origens, nos termos da Circular SECEX nº 65, de 2018</w:t>
      </w:r>
      <w:r>
        <w:rPr>
          <w:sz w:val="24"/>
          <w:szCs w:val="24"/>
        </w:rPr>
        <w:t>. Tal estudo,</w:t>
      </w:r>
      <w:r w:rsidRPr="00A31820">
        <w:rPr>
          <w:sz w:val="24"/>
          <w:szCs w:val="24"/>
        </w:rPr>
        <w:t xml:space="preserve"> que ensejou o início da revisão do direito antidumping aplicado sobre as importações originárias da referida origem, baseou-se em dados equivocados, os quais, uma vez corrigidos, acabaram por alterar as conclusões alcançadas. Portanto, o ato administrativo que iniciou a revisão da medida antidumping aplicada às importações de fios de náilon originárias da Tailândia </w:t>
      </w:r>
      <w:r>
        <w:rPr>
          <w:sz w:val="24"/>
          <w:szCs w:val="24"/>
        </w:rPr>
        <w:t>foi</w:t>
      </w:r>
      <w:r w:rsidRPr="00A31820">
        <w:rPr>
          <w:sz w:val="24"/>
          <w:szCs w:val="24"/>
        </w:rPr>
        <w:t xml:space="preserve"> considerado nulo</w:t>
      </w:r>
      <w:r>
        <w:rPr>
          <w:sz w:val="24"/>
          <w:szCs w:val="24"/>
        </w:rPr>
        <w:t>; ficando i</w:t>
      </w:r>
      <w:r w:rsidRPr="00A31820">
        <w:rPr>
          <w:sz w:val="24"/>
          <w:szCs w:val="24"/>
        </w:rPr>
        <w:t>nalterados os efeitos do início da revisão para China, Coreia do Sul e Taipé Chinês.</w:t>
      </w:r>
      <w:r w:rsidR="006F0870">
        <w:rPr>
          <w:rFonts w:ascii="Calibri" w:hAnsi="Calibri"/>
          <w:color w:val="222222"/>
          <w:sz w:val="24"/>
          <w:szCs w:val="24"/>
        </w:rPr>
        <w:t xml:space="preserve"> </w:t>
      </w:r>
      <w:r w:rsidR="006F0870" w:rsidRPr="00FB0322">
        <w:rPr>
          <w:rFonts w:ascii="Calibri" w:hAnsi="Calibri"/>
          <w:color w:val="222222"/>
          <w:sz w:val="24"/>
          <w:szCs w:val="24"/>
        </w:rPr>
        <w:t>A</w:t>
      </w:r>
      <w:r w:rsidR="0093096D">
        <w:rPr>
          <w:rFonts w:ascii="Calibri" w:hAnsi="Calibri"/>
          <w:color w:val="222222"/>
          <w:sz w:val="24"/>
          <w:szCs w:val="24"/>
        </w:rPr>
        <w:t>s</w:t>
      </w:r>
      <w:r w:rsidR="006F0870" w:rsidRPr="00FB0322">
        <w:rPr>
          <w:rFonts w:ascii="Calibri" w:hAnsi="Calibri"/>
          <w:color w:val="222222"/>
          <w:sz w:val="24"/>
          <w:szCs w:val="24"/>
        </w:rPr>
        <w:t xml:space="preserve"> mercadoria</w:t>
      </w:r>
      <w:r w:rsidR="0093096D">
        <w:rPr>
          <w:rFonts w:ascii="Calibri" w:hAnsi="Calibri"/>
          <w:color w:val="222222"/>
          <w:sz w:val="24"/>
          <w:szCs w:val="24"/>
        </w:rPr>
        <w:t>s</w:t>
      </w:r>
      <w:r w:rsidR="006F0870" w:rsidRPr="00FB0322">
        <w:rPr>
          <w:rFonts w:ascii="Calibri" w:hAnsi="Calibri"/>
          <w:color w:val="222222"/>
          <w:sz w:val="24"/>
          <w:szCs w:val="24"/>
        </w:rPr>
        <w:t xml:space="preserve"> est</w:t>
      </w:r>
      <w:r w:rsidR="0093096D">
        <w:rPr>
          <w:rFonts w:ascii="Calibri" w:hAnsi="Calibri"/>
          <w:color w:val="222222"/>
          <w:sz w:val="24"/>
          <w:szCs w:val="24"/>
        </w:rPr>
        <w:t>ão</w:t>
      </w:r>
      <w:r w:rsidR="006F0870" w:rsidRPr="00FB0322">
        <w:rPr>
          <w:rFonts w:ascii="Calibri" w:hAnsi="Calibri"/>
          <w:color w:val="222222"/>
          <w:sz w:val="24"/>
          <w:szCs w:val="24"/>
        </w:rPr>
        <w:t xml:space="preserve"> sujeita</w:t>
      </w:r>
      <w:r w:rsidR="0093096D">
        <w:rPr>
          <w:rFonts w:ascii="Calibri" w:hAnsi="Calibri"/>
          <w:color w:val="222222"/>
          <w:sz w:val="24"/>
          <w:szCs w:val="24"/>
        </w:rPr>
        <w:t>s</w:t>
      </w:r>
      <w:r w:rsidR="006F0870" w:rsidRPr="00FB0322">
        <w:rPr>
          <w:rFonts w:ascii="Calibri" w:hAnsi="Calibri"/>
          <w:color w:val="222222"/>
          <w:sz w:val="24"/>
          <w:szCs w:val="24"/>
        </w:rPr>
        <w:t xml:space="preserve"> a licenciamento não automático, sob anuência do DECEX, desde </w:t>
      </w:r>
      <w:r w:rsidR="0093096D">
        <w:rPr>
          <w:rFonts w:ascii="Calibri" w:hAnsi="Calibri"/>
          <w:color w:val="222222"/>
          <w:sz w:val="24"/>
          <w:szCs w:val="24"/>
        </w:rPr>
        <w:t>2012.</w:t>
      </w:r>
      <w:r w:rsidR="006F0870" w:rsidRPr="00FB0322">
        <w:rPr>
          <w:rFonts w:ascii="Calibri" w:hAnsi="Calibri"/>
          <w:color w:val="222222"/>
          <w:sz w:val="24"/>
          <w:szCs w:val="24"/>
        </w:rPr>
        <w:t xml:space="preserve"> (Circular Secex n° </w:t>
      </w:r>
      <w:r w:rsidR="006F0870">
        <w:rPr>
          <w:rFonts w:ascii="Calibri" w:hAnsi="Calibri"/>
          <w:color w:val="222222"/>
          <w:sz w:val="24"/>
          <w:szCs w:val="24"/>
        </w:rPr>
        <w:t>1</w:t>
      </w:r>
      <w:r>
        <w:rPr>
          <w:rFonts w:ascii="Calibri" w:hAnsi="Calibri"/>
          <w:color w:val="222222"/>
          <w:sz w:val="24"/>
          <w:szCs w:val="24"/>
        </w:rPr>
        <w:t>5</w:t>
      </w:r>
      <w:r w:rsidR="006F0870" w:rsidRPr="00FB0322">
        <w:rPr>
          <w:rFonts w:ascii="Calibri" w:hAnsi="Calibri"/>
          <w:color w:val="222222"/>
          <w:sz w:val="24"/>
          <w:szCs w:val="24"/>
        </w:rPr>
        <w:t xml:space="preserve">, de </w:t>
      </w:r>
      <w:r>
        <w:rPr>
          <w:rFonts w:ascii="Calibri" w:hAnsi="Calibri"/>
          <w:color w:val="222222"/>
          <w:sz w:val="24"/>
          <w:szCs w:val="24"/>
        </w:rPr>
        <w:t>13</w:t>
      </w:r>
      <w:r w:rsidR="006F0870">
        <w:rPr>
          <w:rFonts w:ascii="Calibri" w:hAnsi="Calibri"/>
          <w:color w:val="222222"/>
          <w:sz w:val="24"/>
          <w:szCs w:val="24"/>
        </w:rPr>
        <w:t>/0</w:t>
      </w:r>
      <w:r>
        <w:rPr>
          <w:rFonts w:ascii="Calibri" w:hAnsi="Calibri"/>
          <w:color w:val="222222"/>
          <w:sz w:val="24"/>
          <w:szCs w:val="24"/>
        </w:rPr>
        <w:t>3</w:t>
      </w:r>
      <w:r w:rsidR="006F0870">
        <w:rPr>
          <w:rFonts w:ascii="Calibri" w:hAnsi="Calibri"/>
          <w:color w:val="222222"/>
          <w:sz w:val="24"/>
          <w:szCs w:val="24"/>
        </w:rPr>
        <w:t>/</w:t>
      </w:r>
      <w:r w:rsidR="006F0870" w:rsidRPr="00FB0322">
        <w:rPr>
          <w:rFonts w:ascii="Calibri" w:hAnsi="Calibri"/>
          <w:color w:val="222222"/>
          <w:sz w:val="24"/>
          <w:szCs w:val="24"/>
        </w:rPr>
        <w:t>201</w:t>
      </w:r>
      <w:r w:rsidR="006F0870">
        <w:rPr>
          <w:rFonts w:ascii="Calibri" w:hAnsi="Calibri"/>
          <w:color w:val="222222"/>
          <w:sz w:val="24"/>
          <w:szCs w:val="24"/>
        </w:rPr>
        <w:t>9</w:t>
      </w:r>
      <w:r w:rsidR="006F0870" w:rsidRPr="00FB0322">
        <w:rPr>
          <w:rFonts w:ascii="Calibri" w:hAnsi="Calibri"/>
          <w:color w:val="222222"/>
          <w:sz w:val="24"/>
          <w:szCs w:val="24"/>
        </w:rPr>
        <w:t xml:space="preserve">, DOU </w:t>
      </w:r>
      <w:r>
        <w:rPr>
          <w:rFonts w:ascii="Calibri" w:hAnsi="Calibri"/>
          <w:color w:val="222222"/>
          <w:sz w:val="24"/>
          <w:szCs w:val="24"/>
        </w:rPr>
        <w:t>14</w:t>
      </w:r>
      <w:r w:rsidR="006F0870">
        <w:rPr>
          <w:rFonts w:ascii="Calibri" w:hAnsi="Calibri"/>
          <w:color w:val="222222"/>
          <w:sz w:val="24"/>
          <w:szCs w:val="24"/>
        </w:rPr>
        <w:t>/0</w:t>
      </w:r>
      <w:r>
        <w:rPr>
          <w:rFonts w:ascii="Calibri" w:hAnsi="Calibri"/>
          <w:color w:val="222222"/>
          <w:sz w:val="24"/>
          <w:szCs w:val="24"/>
        </w:rPr>
        <w:t>3</w:t>
      </w:r>
      <w:r w:rsidR="006F0870" w:rsidRPr="00FB0322">
        <w:rPr>
          <w:rFonts w:ascii="Calibri" w:hAnsi="Calibri"/>
          <w:color w:val="222222"/>
          <w:sz w:val="24"/>
          <w:szCs w:val="24"/>
        </w:rPr>
        <w:t>/201</w:t>
      </w:r>
      <w:r w:rsidR="006F0870">
        <w:rPr>
          <w:rFonts w:ascii="Calibri" w:hAnsi="Calibri"/>
          <w:color w:val="222222"/>
          <w:sz w:val="24"/>
          <w:szCs w:val="24"/>
        </w:rPr>
        <w:t>9</w:t>
      </w:r>
      <w:r w:rsidR="006F0870" w:rsidRPr="00FB0322">
        <w:rPr>
          <w:rFonts w:ascii="Calibri" w:hAnsi="Calibri"/>
          <w:color w:val="222222"/>
          <w:sz w:val="24"/>
          <w:szCs w:val="24"/>
        </w:rPr>
        <w:t>).</w:t>
      </w:r>
    </w:p>
    <w:p w:rsidR="00A31820" w:rsidRDefault="00A31820" w:rsidP="00A31820">
      <w:pPr>
        <w:shd w:val="clear" w:color="auto" w:fill="FFFFFF"/>
        <w:spacing w:after="0" w:line="240" w:lineRule="auto"/>
        <w:rPr>
          <w:b/>
          <w:sz w:val="24"/>
          <w:szCs w:val="24"/>
        </w:rPr>
      </w:pPr>
    </w:p>
    <w:p w:rsidR="00A31820" w:rsidRDefault="00A31820" w:rsidP="00A31820">
      <w:pPr>
        <w:shd w:val="clear" w:color="auto" w:fill="FFFFFF"/>
        <w:spacing w:after="0" w:line="240" w:lineRule="auto"/>
        <w:rPr>
          <w:b/>
          <w:sz w:val="24"/>
          <w:szCs w:val="24"/>
        </w:rPr>
      </w:pPr>
    </w:p>
    <w:p w:rsidR="00A31820" w:rsidRDefault="00A31820" w:rsidP="00A31820">
      <w:pPr>
        <w:shd w:val="clear" w:color="auto" w:fill="FFFFFF"/>
        <w:spacing w:after="0" w:line="240" w:lineRule="auto"/>
        <w:rPr>
          <w:b/>
          <w:sz w:val="24"/>
          <w:szCs w:val="24"/>
        </w:rPr>
      </w:pPr>
    </w:p>
    <w:p w:rsidR="00A31820" w:rsidRPr="001F5CD3" w:rsidRDefault="00662AEC" w:rsidP="00A31820">
      <w:pPr>
        <w:shd w:val="clear" w:color="auto" w:fill="FFFFFF"/>
        <w:spacing w:after="0" w:line="240" w:lineRule="auto"/>
        <w:rPr>
          <w:rFonts w:ascii="Arial" w:eastAsia="Times New Roman" w:hAnsi="Arial" w:cs="Arial"/>
          <w:color w:val="222222"/>
          <w:sz w:val="24"/>
          <w:szCs w:val="24"/>
          <w:lang w:eastAsia="pt-BR"/>
        </w:rPr>
      </w:pPr>
      <w:r>
        <w:rPr>
          <w:rFonts w:eastAsia="Times New Roman" w:cs="Arial"/>
          <w:b/>
          <w:bCs/>
          <w:color w:val="222222"/>
          <w:sz w:val="24"/>
          <w:szCs w:val="24"/>
          <w:lang w:eastAsia="pt-BR"/>
        </w:rPr>
        <w:t>ALHOS FRESCOS OU REFRIGERADOS</w:t>
      </w:r>
      <w:r w:rsidR="00A31820" w:rsidRPr="00B649AD">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0703.20.10 E 0703.20.90</w:t>
      </w:r>
      <w:r w:rsidR="00A31820" w:rsidRPr="00B649AD">
        <w:rPr>
          <w:rFonts w:eastAsia="Times New Roman" w:cs="Arial"/>
          <w:b/>
          <w:bCs/>
          <w:color w:val="000000"/>
          <w:sz w:val="24"/>
          <w:szCs w:val="24"/>
          <w:lang w:eastAsia="pt-BR"/>
        </w:rPr>
        <w:t>)</w:t>
      </w:r>
      <w:r w:rsidR="00A31820" w:rsidRPr="00B649AD">
        <w:rPr>
          <w:rFonts w:eastAsia="Times New Roman" w:cs="Arial"/>
          <w:color w:val="222222"/>
          <w:sz w:val="24"/>
          <w:szCs w:val="24"/>
          <w:lang w:eastAsia="pt-BR"/>
        </w:rPr>
        <w:t xml:space="preserve"> – A SECEX </w:t>
      </w:r>
      <w:r w:rsidR="00A31820">
        <w:rPr>
          <w:rFonts w:eastAsia="Times New Roman" w:cs="Arial"/>
          <w:color w:val="222222"/>
          <w:sz w:val="24"/>
          <w:szCs w:val="24"/>
          <w:lang w:eastAsia="pt-BR"/>
        </w:rPr>
        <w:t>prorrogou até</w:t>
      </w:r>
      <w:r>
        <w:rPr>
          <w:rFonts w:eastAsia="Times New Roman" w:cs="Arial"/>
          <w:color w:val="222222"/>
          <w:sz w:val="24"/>
          <w:szCs w:val="24"/>
          <w:lang w:eastAsia="pt-BR"/>
        </w:rPr>
        <w:t xml:space="preserve"> 3 de </w:t>
      </w:r>
      <w:proofErr w:type="gramStart"/>
      <w:r>
        <w:rPr>
          <w:rFonts w:eastAsia="Times New Roman" w:cs="Arial"/>
          <w:color w:val="222222"/>
          <w:sz w:val="24"/>
          <w:szCs w:val="24"/>
          <w:lang w:eastAsia="pt-BR"/>
        </w:rPr>
        <w:t>outubro  de</w:t>
      </w:r>
      <w:proofErr w:type="gramEnd"/>
      <w:r>
        <w:rPr>
          <w:rFonts w:eastAsia="Times New Roman" w:cs="Arial"/>
          <w:color w:val="222222"/>
          <w:sz w:val="24"/>
          <w:szCs w:val="24"/>
          <w:lang w:eastAsia="pt-BR"/>
        </w:rPr>
        <w:t xml:space="preserve"> 2019,</w:t>
      </w:r>
      <w:r w:rsidRPr="007548EC">
        <w:rPr>
          <w:rFonts w:eastAsia="Times New Roman" w:cs="Arial"/>
          <w:color w:val="162937"/>
          <w:sz w:val="24"/>
          <w:szCs w:val="24"/>
          <w:shd w:val="clear" w:color="auto" w:fill="FFFFFF"/>
          <w:lang w:eastAsia="pt-BR"/>
        </w:rPr>
        <w:t xml:space="preserve"> o prazo para conclusão da revisão de final do direito antidumping aplicado às</w:t>
      </w:r>
      <w:r>
        <w:rPr>
          <w:rFonts w:eastAsia="Times New Roman" w:cs="Arial"/>
          <w:color w:val="162937"/>
          <w:sz w:val="24"/>
          <w:szCs w:val="24"/>
          <w:shd w:val="clear" w:color="auto" w:fill="FFFFFF"/>
          <w:lang w:eastAsia="pt-BR"/>
        </w:rPr>
        <w:t xml:space="preserve"> im</w:t>
      </w:r>
      <w:r w:rsidRPr="007548EC">
        <w:rPr>
          <w:rFonts w:eastAsia="Times New Roman" w:cs="Arial"/>
          <w:color w:val="162937"/>
          <w:sz w:val="24"/>
          <w:szCs w:val="24"/>
          <w:shd w:val="clear" w:color="auto" w:fill="FFFFFF"/>
          <w:lang w:eastAsia="pt-BR"/>
        </w:rPr>
        <w:t xml:space="preserve">portações de alhos frescos ou refrigerados, </w:t>
      </w:r>
      <w:r>
        <w:rPr>
          <w:rFonts w:eastAsia="Times New Roman" w:cs="Arial"/>
          <w:color w:val="162937"/>
          <w:sz w:val="24"/>
          <w:szCs w:val="24"/>
          <w:shd w:val="clear" w:color="auto" w:fill="FFFFFF"/>
          <w:lang w:eastAsia="pt-BR"/>
        </w:rPr>
        <w:t>NCM</w:t>
      </w:r>
      <w:r w:rsidRPr="007548EC">
        <w:rPr>
          <w:rFonts w:eastAsia="Times New Roman" w:cs="Arial"/>
          <w:color w:val="162937"/>
          <w:sz w:val="24"/>
          <w:szCs w:val="24"/>
          <w:shd w:val="clear" w:color="auto" w:fill="FFFFFF"/>
          <w:lang w:eastAsia="pt-BR"/>
        </w:rPr>
        <w:t xml:space="preserve"> 0703.20.10 e 0703.20.90</w:t>
      </w:r>
      <w:r>
        <w:rPr>
          <w:rFonts w:eastAsia="Times New Roman" w:cs="Arial"/>
          <w:color w:val="162937"/>
          <w:sz w:val="24"/>
          <w:szCs w:val="24"/>
          <w:shd w:val="clear" w:color="auto" w:fill="FFFFFF"/>
          <w:lang w:eastAsia="pt-BR"/>
        </w:rPr>
        <w:t>,</w:t>
      </w:r>
      <w:r w:rsidRPr="007548EC">
        <w:rPr>
          <w:rFonts w:eastAsia="Times New Roman" w:cs="Arial"/>
          <w:color w:val="162937"/>
          <w:sz w:val="24"/>
          <w:szCs w:val="24"/>
          <w:shd w:val="clear" w:color="auto" w:fill="FFFFFF"/>
          <w:lang w:eastAsia="pt-BR"/>
        </w:rPr>
        <w:t xml:space="preserve"> originárias da China</w:t>
      </w:r>
      <w:r>
        <w:rPr>
          <w:rFonts w:eastAsia="Times New Roman" w:cs="Arial"/>
          <w:color w:val="162937"/>
          <w:sz w:val="24"/>
          <w:szCs w:val="24"/>
          <w:shd w:val="clear" w:color="auto" w:fill="FFFFFF"/>
          <w:lang w:eastAsia="pt-BR"/>
        </w:rPr>
        <w:t>. No mesmo ato,</w:t>
      </w:r>
      <w:r w:rsidR="00A31820">
        <w:rPr>
          <w:rFonts w:eastAsia="Times New Roman" w:cs="Arial"/>
          <w:color w:val="162937"/>
          <w:sz w:val="24"/>
          <w:szCs w:val="24"/>
          <w:lang w:eastAsia="pt-BR"/>
        </w:rPr>
        <w:t xml:space="preserve"> divulgou os novos</w:t>
      </w:r>
      <w:r w:rsidR="00A31820" w:rsidRPr="00B649AD">
        <w:rPr>
          <w:rFonts w:eastAsia="Times New Roman" w:cs="Arial"/>
          <w:color w:val="222222"/>
          <w:sz w:val="24"/>
          <w:szCs w:val="24"/>
          <w:lang w:eastAsia="pt-BR"/>
        </w:rPr>
        <w:t xml:space="preserve"> prazos que servirão de parâmetro para o restante da</w:t>
      </w:r>
      <w:r w:rsidR="00A31820">
        <w:rPr>
          <w:rFonts w:eastAsia="Times New Roman" w:cs="Arial"/>
          <w:color w:val="222222"/>
          <w:sz w:val="24"/>
          <w:szCs w:val="24"/>
          <w:lang w:eastAsia="pt-BR"/>
        </w:rPr>
        <w:t xml:space="preserve"> </w:t>
      </w:r>
      <w:r w:rsidR="00A31820" w:rsidRPr="00B649AD">
        <w:rPr>
          <w:rFonts w:eastAsia="Times New Roman" w:cs="Arial"/>
          <w:color w:val="222222"/>
          <w:sz w:val="24"/>
          <w:szCs w:val="24"/>
          <w:lang w:eastAsia="pt-BR"/>
        </w:rPr>
        <w:t>revisão</w:t>
      </w:r>
      <w:r w:rsidR="00A31820">
        <w:rPr>
          <w:rFonts w:eastAsia="Times New Roman" w:cs="Arial"/>
          <w:color w:val="222222"/>
          <w:sz w:val="24"/>
          <w:szCs w:val="24"/>
          <w:lang w:eastAsia="pt-BR"/>
        </w:rPr>
        <w:t xml:space="preserve">, conforme tabela abaixo. </w:t>
      </w:r>
      <w:r w:rsidR="00A31820" w:rsidRPr="00B649AD">
        <w:rPr>
          <w:rFonts w:eastAsia="Times New Roman" w:cs="Arial"/>
          <w:color w:val="222222"/>
          <w:sz w:val="24"/>
          <w:szCs w:val="24"/>
          <w:lang w:eastAsia="pt-BR"/>
        </w:rPr>
        <w:t>A mercadoria segue sujeita a licenciamento, com controle do DECEX</w:t>
      </w:r>
      <w:r w:rsidR="00A31820">
        <w:rPr>
          <w:rFonts w:eastAsia="Times New Roman" w:cs="Arial"/>
          <w:color w:val="222222"/>
          <w:sz w:val="24"/>
          <w:szCs w:val="24"/>
          <w:lang w:eastAsia="pt-BR"/>
        </w:rPr>
        <w:t xml:space="preserve"> e </w:t>
      </w:r>
      <w:r w:rsidR="0093096D">
        <w:rPr>
          <w:rFonts w:eastAsia="Times New Roman" w:cs="Arial"/>
          <w:color w:val="222222"/>
          <w:sz w:val="24"/>
          <w:szCs w:val="24"/>
          <w:lang w:eastAsia="pt-BR"/>
        </w:rPr>
        <w:t>MAPA</w:t>
      </w:r>
      <w:r w:rsidR="00A31820" w:rsidRPr="00B649AD">
        <w:rPr>
          <w:rFonts w:eastAsia="Times New Roman" w:cs="Arial"/>
          <w:color w:val="222222"/>
          <w:sz w:val="24"/>
          <w:szCs w:val="24"/>
          <w:lang w:eastAsia="pt-BR"/>
        </w:rPr>
        <w:t xml:space="preserve">, desde </w:t>
      </w:r>
      <w:r w:rsidR="0093096D">
        <w:rPr>
          <w:rFonts w:eastAsia="Times New Roman" w:cs="Arial"/>
          <w:color w:val="222222"/>
          <w:sz w:val="24"/>
          <w:szCs w:val="24"/>
          <w:lang w:eastAsia="pt-BR"/>
        </w:rPr>
        <w:t>16/3/2011</w:t>
      </w:r>
      <w:r w:rsidR="00A31820" w:rsidRPr="00B649AD">
        <w:rPr>
          <w:rFonts w:eastAsia="Times New Roman" w:cs="Arial"/>
          <w:color w:val="222222"/>
          <w:sz w:val="24"/>
          <w:szCs w:val="24"/>
          <w:lang w:eastAsia="pt-BR"/>
        </w:rPr>
        <w:t xml:space="preserve">. (Circular Secex nº </w:t>
      </w:r>
      <w:r w:rsidR="00A31820">
        <w:rPr>
          <w:rFonts w:eastAsia="Times New Roman" w:cs="Arial"/>
          <w:color w:val="222222"/>
          <w:sz w:val="24"/>
          <w:szCs w:val="24"/>
          <w:lang w:eastAsia="pt-BR"/>
        </w:rPr>
        <w:t>14</w:t>
      </w:r>
      <w:r w:rsidR="00A31820" w:rsidRPr="00B649AD">
        <w:rPr>
          <w:rFonts w:eastAsia="Times New Roman" w:cs="Arial"/>
          <w:color w:val="222222"/>
          <w:sz w:val="24"/>
          <w:szCs w:val="24"/>
          <w:lang w:eastAsia="pt-BR"/>
        </w:rPr>
        <w:t xml:space="preserve">, de </w:t>
      </w:r>
      <w:r w:rsidR="00A31820">
        <w:rPr>
          <w:rFonts w:eastAsia="Times New Roman" w:cs="Arial"/>
          <w:color w:val="222222"/>
          <w:sz w:val="24"/>
          <w:szCs w:val="24"/>
          <w:lang w:eastAsia="pt-BR"/>
        </w:rPr>
        <w:t>28</w:t>
      </w:r>
      <w:r w:rsidR="00A31820" w:rsidRPr="00B649AD">
        <w:rPr>
          <w:rFonts w:eastAsia="Times New Roman" w:cs="Arial"/>
          <w:color w:val="222222"/>
          <w:sz w:val="24"/>
          <w:szCs w:val="24"/>
          <w:lang w:eastAsia="pt-BR"/>
        </w:rPr>
        <w:t>/0</w:t>
      </w:r>
      <w:r w:rsidR="00A31820">
        <w:rPr>
          <w:rFonts w:eastAsia="Times New Roman" w:cs="Arial"/>
          <w:color w:val="222222"/>
          <w:sz w:val="24"/>
          <w:szCs w:val="24"/>
          <w:lang w:eastAsia="pt-BR"/>
        </w:rPr>
        <w:t>2</w:t>
      </w:r>
      <w:r w:rsidR="00A31820" w:rsidRPr="00B649AD">
        <w:rPr>
          <w:rFonts w:eastAsia="Times New Roman" w:cs="Arial"/>
          <w:color w:val="222222"/>
          <w:sz w:val="24"/>
          <w:szCs w:val="24"/>
          <w:lang w:eastAsia="pt-BR"/>
        </w:rPr>
        <w:t>/201</w:t>
      </w:r>
      <w:r w:rsidR="00A31820">
        <w:rPr>
          <w:rFonts w:eastAsia="Times New Roman" w:cs="Arial"/>
          <w:color w:val="222222"/>
          <w:sz w:val="24"/>
          <w:szCs w:val="24"/>
          <w:lang w:eastAsia="pt-BR"/>
        </w:rPr>
        <w:t>9</w:t>
      </w:r>
      <w:r w:rsidR="00A31820" w:rsidRPr="00B649AD">
        <w:rPr>
          <w:rFonts w:eastAsia="Times New Roman" w:cs="Arial"/>
          <w:color w:val="222222"/>
          <w:sz w:val="24"/>
          <w:szCs w:val="24"/>
          <w:lang w:eastAsia="pt-BR"/>
        </w:rPr>
        <w:t xml:space="preserve">, DOU </w:t>
      </w:r>
      <w:r w:rsidR="00A31820">
        <w:rPr>
          <w:rFonts w:eastAsia="Times New Roman" w:cs="Arial"/>
          <w:color w:val="222222"/>
          <w:sz w:val="24"/>
          <w:szCs w:val="24"/>
          <w:lang w:eastAsia="pt-BR"/>
        </w:rPr>
        <w:t>06</w:t>
      </w:r>
      <w:r w:rsidR="00A31820" w:rsidRPr="00B649AD">
        <w:rPr>
          <w:rFonts w:eastAsia="Times New Roman" w:cs="Arial"/>
          <w:color w:val="222222"/>
          <w:sz w:val="24"/>
          <w:szCs w:val="24"/>
          <w:lang w:eastAsia="pt-BR"/>
        </w:rPr>
        <w:t>/0</w:t>
      </w:r>
      <w:r w:rsidR="00A31820">
        <w:rPr>
          <w:rFonts w:eastAsia="Times New Roman" w:cs="Arial"/>
          <w:color w:val="222222"/>
          <w:sz w:val="24"/>
          <w:szCs w:val="24"/>
          <w:lang w:eastAsia="pt-BR"/>
        </w:rPr>
        <w:t>3</w:t>
      </w:r>
      <w:r w:rsidR="00A31820" w:rsidRPr="00B649AD">
        <w:rPr>
          <w:rFonts w:eastAsia="Times New Roman" w:cs="Arial"/>
          <w:color w:val="222222"/>
          <w:sz w:val="24"/>
          <w:szCs w:val="24"/>
          <w:lang w:eastAsia="pt-BR"/>
        </w:rPr>
        <w:t>/201</w:t>
      </w:r>
      <w:r w:rsidR="00A31820">
        <w:rPr>
          <w:rFonts w:eastAsia="Times New Roman" w:cs="Arial"/>
          <w:color w:val="222222"/>
          <w:sz w:val="24"/>
          <w:szCs w:val="24"/>
          <w:lang w:eastAsia="pt-BR"/>
        </w:rPr>
        <w:t>9</w:t>
      </w:r>
      <w:r w:rsidR="00A31820" w:rsidRPr="00B649AD">
        <w:rPr>
          <w:rFonts w:eastAsia="Times New Roman" w:cs="Arial"/>
          <w:color w:val="222222"/>
          <w:sz w:val="24"/>
          <w:szCs w:val="24"/>
          <w:lang w:eastAsia="pt-BR"/>
        </w:rPr>
        <w:t>):</w:t>
      </w:r>
    </w:p>
    <w:p w:rsidR="00A31820" w:rsidRDefault="00A31820" w:rsidP="00A31820">
      <w:pPr>
        <w:shd w:val="clear" w:color="auto" w:fill="FFFFFF"/>
        <w:spacing w:after="0" w:line="240" w:lineRule="auto"/>
        <w:rPr>
          <w:rFonts w:eastAsia="Times New Roman" w:cs="Arial"/>
          <w:color w:val="222222"/>
          <w:sz w:val="24"/>
          <w:szCs w:val="24"/>
          <w:lang w:eastAsia="pt-BR"/>
        </w:rPr>
      </w:pPr>
    </w:p>
    <w:p w:rsidR="00A31820" w:rsidRPr="00B649AD" w:rsidRDefault="00A31820" w:rsidP="00A31820">
      <w:pPr>
        <w:shd w:val="clear" w:color="auto" w:fill="FFFFFF"/>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w:t>
      </w:r>
    </w:p>
    <w:tbl>
      <w:tblPr>
        <w:tblW w:w="8504" w:type="dxa"/>
        <w:tblInd w:w="-10" w:type="dxa"/>
        <w:shd w:val="clear" w:color="auto" w:fill="FFFFFF"/>
        <w:tblCellMar>
          <w:left w:w="0" w:type="dxa"/>
          <w:right w:w="0" w:type="dxa"/>
        </w:tblCellMar>
        <w:tblLook w:val="04A0" w:firstRow="1" w:lastRow="0" w:firstColumn="1" w:lastColumn="0" w:noHBand="0" w:noVBand="1"/>
      </w:tblPr>
      <w:tblGrid>
        <w:gridCol w:w="1804"/>
        <w:gridCol w:w="5325"/>
        <w:gridCol w:w="1375"/>
      </w:tblGrid>
      <w:tr w:rsidR="00A31820" w:rsidRPr="00B649AD" w:rsidTr="00EE5E70">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DISPOSIÇÃO LEGAL</w:t>
            </w:r>
          </w:p>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lastRenderedPageBreak/>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lastRenderedPageBreak/>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PRAZO</w:t>
            </w:r>
          </w:p>
        </w:tc>
      </w:tr>
      <w:tr w:rsidR="00A31820" w:rsidRPr="00B649AD" w:rsidTr="00EE5E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 xml:space="preserve">Encerramento da fase probatória da </w:t>
            </w:r>
            <w:r>
              <w:rPr>
                <w:rFonts w:eastAsia="Times New Roman" w:cs="Arial"/>
                <w:color w:val="222222"/>
                <w:sz w:val="24"/>
                <w:szCs w:val="24"/>
                <w:lang w:eastAsia="pt-BR"/>
              </w:rPr>
              <w:t>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820" w:rsidRPr="00B649AD" w:rsidRDefault="00662AEC" w:rsidP="00EE5E70">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05</w:t>
            </w:r>
            <w:r w:rsidR="00A31820">
              <w:rPr>
                <w:rFonts w:eastAsia="Times New Roman" w:cs="Arial"/>
                <w:color w:val="222222"/>
                <w:sz w:val="24"/>
                <w:szCs w:val="24"/>
                <w:lang w:eastAsia="pt-BR"/>
              </w:rPr>
              <w:t>/0</w:t>
            </w:r>
            <w:r>
              <w:rPr>
                <w:rFonts w:eastAsia="Times New Roman" w:cs="Arial"/>
                <w:color w:val="222222"/>
                <w:sz w:val="24"/>
                <w:szCs w:val="24"/>
                <w:lang w:eastAsia="pt-BR"/>
              </w:rPr>
              <w:t>6</w:t>
            </w:r>
            <w:r w:rsidR="00A31820">
              <w:rPr>
                <w:rFonts w:eastAsia="Times New Roman" w:cs="Arial"/>
                <w:color w:val="222222"/>
                <w:sz w:val="24"/>
                <w:szCs w:val="24"/>
                <w:lang w:eastAsia="pt-BR"/>
              </w:rPr>
              <w:t>/2019</w:t>
            </w:r>
          </w:p>
        </w:tc>
      </w:tr>
      <w:tr w:rsidR="00A31820" w:rsidRPr="00B649AD" w:rsidTr="00EE5E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820" w:rsidRPr="00B649AD" w:rsidRDefault="00662AEC" w:rsidP="00EE5E70">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25</w:t>
            </w:r>
            <w:r w:rsidR="00A31820">
              <w:rPr>
                <w:rFonts w:eastAsia="Times New Roman" w:cs="Arial"/>
                <w:color w:val="222222"/>
                <w:sz w:val="24"/>
                <w:szCs w:val="24"/>
                <w:lang w:eastAsia="pt-BR"/>
              </w:rPr>
              <w:t>/0</w:t>
            </w:r>
            <w:r>
              <w:rPr>
                <w:rFonts w:eastAsia="Times New Roman" w:cs="Arial"/>
                <w:color w:val="222222"/>
                <w:sz w:val="24"/>
                <w:szCs w:val="24"/>
                <w:lang w:eastAsia="pt-BR"/>
              </w:rPr>
              <w:t>6</w:t>
            </w:r>
            <w:r w:rsidR="00A31820">
              <w:rPr>
                <w:rFonts w:eastAsia="Times New Roman" w:cs="Arial"/>
                <w:color w:val="222222"/>
                <w:sz w:val="24"/>
                <w:szCs w:val="24"/>
                <w:lang w:eastAsia="pt-BR"/>
              </w:rPr>
              <w:t>/2019</w:t>
            </w:r>
          </w:p>
        </w:tc>
      </w:tr>
      <w:tr w:rsidR="00A31820" w:rsidRPr="00B649AD" w:rsidTr="00EE5E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820" w:rsidRPr="00B649AD" w:rsidRDefault="00662AEC" w:rsidP="00EE5E70">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25</w:t>
            </w:r>
            <w:r w:rsidR="00A31820">
              <w:rPr>
                <w:rFonts w:eastAsia="Times New Roman" w:cs="Arial"/>
                <w:color w:val="222222"/>
                <w:sz w:val="24"/>
                <w:szCs w:val="24"/>
                <w:lang w:eastAsia="pt-BR"/>
              </w:rPr>
              <w:t>/0</w:t>
            </w:r>
            <w:r>
              <w:rPr>
                <w:rFonts w:eastAsia="Times New Roman" w:cs="Arial"/>
                <w:color w:val="222222"/>
                <w:sz w:val="24"/>
                <w:szCs w:val="24"/>
                <w:lang w:eastAsia="pt-BR"/>
              </w:rPr>
              <w:t>7</w:t>
            </w:r>
            <w:r w:rsidR="00A31820">
              <w:rPr>
                <w:rFonts w:eastAsia="Times New Roman" w:cs="Arial"/>
                <w:color w:val="222222"/>
                <w:sz w:val="24"/>
                <w:szCs w:val="24"/>
                <w:lang w:eastAsia="pt-BR"/>
              </w:rPr>
              <w:t>/2019</w:t>
            </w:r>
          </w:p>
        </w:tc>
      </w:tr>
      <w:tr w:rsidR="00A31820" w:rsidRPr="00B649AD" w:rsidTr="00EE5E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820" w:rsidRPr="00B649AD" w:rsidRDefault="00662AEC" w:rsidP="00EE5E70">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14</w:t>
            </w:r>
            <w:r w:rsidR="00A31820">
              <w:rPr>
                <w:rFonts w:eastAsia="Times New Roman" w:cs="Arial"/>
                <w:color w:val="222222"/>
                <w:sz w:val="24"/>
                <w:szCs w:val="24"/>
                <w:lang w:eastAsia="pt-BR"/>
              </w:rPr>
              <w:t>/0</w:t>
            </w:r>
            <w:r>
              <w:rPr>
                <w:rFonts w:eastAsia="Times New Roman" w:cs="Arial"/>
                <w:color w:val="222222"/>
                <w:sz w:val="24"/>
                <w:szCs w:val="24"/>
                <w:lang w:eastAsia="pt-BR"/>
              </w:rPr>
              <w:t>8</w:t>
            </w:r>
            <w:r w:rsidR="00A31820">
              <w:rPr>
                <w:rFonts w:eastAsia="Times New Roman" w:cs="Arial"/>
                <w:color w:val="222222"/>
                <w:sz w:val="24"/>
                <w:szCs w:val="24"/>
                <w:lang w:eastAsia="pt-BR"/>
              </w:rPr>
              <w:t>/2019</w:t>
            </w:r>
          </w:p>
        </w:tc>
      </w:tr>
      <w:tr w:rsidR="00A31820" w:rsidRPr="00B649AD" w:rsidTr="00EE5E70">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1820" w:rsidRPr="00B649AD" w:rsidRDefault="00A31820" w:rsidP="00EE5E70">
            <w:pPr>
              <w:spacing w:after="0" w:line="240" w:lineRule="auto"/>
              <w:rPr>
                <w:rFonts w:eastAsia="Times New Roman" w:cs="Arial"/>
                <w:color w:val="222222"/>
                <w:sz w:val="24"/>
                <w:szCs w:val="24"/>
                <w:lang w:eastAsia="pt-BR"/>
              </w:rPr>
            </w:pPr>
            <w:r w:rsidRPr="00B649AD">
              <w:rPr>
                <w:rFonts w:eastAsia="Times New Roman" w:cs="Arial"/>
                <w:color w:val="222222"/>
                <w:sz w:val="24"/>
                <w:szCs w:val="24"/>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1820" w:rsidRPr="00B649AD" w:rsidRDefault="00A31820" w:rsidP="00EE5E70">
            <w:pPr>
              <w:spacing w:after="0" w:line="240" w:lineRule="auto"/>
              <w:rPr>
                <w:rFonts w:eastAsia="Times New Roman" w:cs="Arial"/>
                <w:color w:val="222222"/>
                <w:sz w:val="24"/>
                <w:szCs w:val="24"/>
                <w:lang w:eastAsia="pt-BR"/>
              </w:rPr>
            </w:pPr>
            <w:r>
              <w:rPr>
                <w:rFonts w:eastAsia="Times New Roman" w:cs="Arial"/>
                <w:color w:val="222222"/>
                <w:sz w:val="24"/>
                <w:szCs w:val="24"/>
                <w:lang w:eastAsia="pt-BR"/>
              </w:rPr>
              <w:t>0</w:t>
            </w:r>
            <w:r w:rsidR="00662AEC">
              <w:rPr>
                <w:rFonts w:eastAsia="Times New Roman" w:cs="Arial"/>
                <w:color w:val="222222"/>
                <w:sz w:val="24"/>
                <w:szCs w:val="24"/>
                <w:lang w:eastAsia="pt-BR"/>
              </w:rPr>
              <w:t>3</w:t>
            </w:r>
            <w:r>
              <w:rPr>
                <w:rFonts w:eastAsia="Times New Roman" w:cs="Arial"/>
                <w:color w:val="222222"/>
                <w:sz w:val="24"/>
                <w:szCs w:val="24"/>
                <w:lang w:eastAsia="pt-BR"/>
              </w:rPr>
              <w:t>/0</w:t>
            </w:r>
            <w:r w:rsidR="00662AEC">
              <w:rPr>
                <w:rFonts w:eastAsia="Times New Roman" w:cs="Arial"/>
                <w:color w:val="222222"/>
                <w:sz w:val="24"/>
                <w:szCs w:val="24"/>
                <w:lang w:eastAsia="pt-BR"/>
              </w:rPr>
              <w:t>9</w:t>
            </w:r>
            <w:r>
              <w:rPr>
                <w:rFonts w:eastAsia="Times New Roman" w:cs="Arial"/>
                <w:color w:val="222222"/>
                <w:sz w:val="24"/>
                <w:szCs w:val="24"/>
                <w:lang w:eastAsia="pt-BR"/>
              </w:rPr>
              <w:t>/2019</w:t>
            </w:r>
          </w:p>
        </w:tc>
      </w:tr>
    </w:tbl>
    <w:p w:rsidR="00A31820" w:rsidRDefault="00A31820"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A31820" w:rsidRDefault="00A31820"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A31820" w:rsidRDefault="00A31820"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297A9B" w:rsidRDefault="00297A9B" w:rsidP="004F777B">
      <w:pPr>
        <w:shd w:val="clear" w:color="auto" w:fill="FFFFFF"/>
        <w:spacing w:after="0" w:line="240" w:lineRule="auto"/>
        <w:jc w:val="center"/>
        <w:rPr>
          <w:b/>
          <w:sz w:val="48"/>
          <w:szCs w:val="48"/>
        </w:rPr>
      </w:pPr>
    </w:p>
    <w:p w:rsidR="00CA27B7" w:rsidRPr="00A31820" w:rsidRDefault="00697456" w:rsidP="00A31820">
      <w:pPr>
        <w:shd w:val="clear" w:color="auto" w:fill="FFFFFF"/>
        <w:spacing w:after="0" w:line="240" w:lineRule="auto"/>
        <w:jc w:val="center"/>
        <w:rPr>
          <w:b/>
          <w:sz w:val="24"/>
          <w:szCs w:val="24"/>
        </w:rPr>
      </w:pPr>
      <w:r w:rsidRPr="00A31820">
        <w:rPr>
          <w:b/>
          <w:sz w:val="24"/>
          <w:szCs w:val="24"/>
        </w:rPr>
        <w:t>SECRETARIA ESPECIAL DE COMÉRCIO EXTERIOR E ASSUNTOS INTERNACIONAIS SECRETARIA DE COMÉRCIO EXTERIOR</w:t>
      </w:r>
    </w:p>
    <w:p w:rsidR="00CA27B7" w:rsidRPr="00A31820" w:rsidRDefault="00697456" w:rsidP="00A31820">
      <w:pPr>
        <w:shd w:val="clear" w:color="auto" w:fill="FFFFFF"/>
        <w:spacing w:after="0" w:line="240" w:lineRule="auto"/>
        <w:jc w:val="center"/>
        <w:rPr>
          <w:b/>
          <w:sz w:val="24"/>
          <w:szCs w:val="24"/>
        </w:rPr>
      </w:pPr>
      <w:r w:rsidRPr="00A31820">
        <w:rPr>
          <w:b/>
          <w:sz w:val="24"/>
          <w:szCs w:val="24"/>
        </w:rPr>
        <w:t>CIRCULAR</w:t>
      </w:r>
      <w:r w:rsidR="00A31820" w:rsidRPr="00A31820">
        <w:rPr>
          <w:b/>
          <w:sz w:val="24"/>
          <w:szCs w:val="24"/>
        </w:rPr>
        <w:t xml:space="preserve"> SECEX</w:t>
      </w:r>
      <w:r w:rsidRPr="00A31820">
        <w:rPr>
          <w:b/>
          <w:sz w:val="24"/>
          <w:szCs w:val="24"/>
        </w:rPr>
        <w:t xml:space="preserve"> No 15, DE 13 DE MARÇO DE 2019 (D.O.U de 14/03/2019)</w:t>
      </w:r>
    </w:p>
    <w:p w:rsidR="00CA27B7" w:rsidRPr="00A31820" w:rsidRDefault="00CA27B7" w:rsidP="00697456">
      <w:pPr>
        <w:shd w:val="clear" w:color="auto" w:fill="FFFFFF"/>
        <w:spacing w:after="0" w:line="240" w:lineRule="auto"/>
        <w:rPr>
          <w:sz w:val="24"/>
          <w:szCs w:val="24"/>
        </w:rPr>
      </w:pPr>
    </w:p>
    <w:p w:rsidR="00A31820" w:rsidRDefault="00697456" w:rsidP="00697456">
      <w:pPr>
        <w:shd w:val="clear" w:color="auto" w:fill="FFFFFF"/>
        <w:spacing w:after="0" w:line="240" w:lineRule="auto"/>
        <w:rPr>
          <w:sz w:val="24"/>
          <w:szCs w:val="24"/>
        </w:rPr>
      </w:pPr>
      <w:r w:rsidRPr="00A31820">
        <w:rPr>
          <w:sz w:val="24"/>
          <w:szCs w:val="24"/>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CONSIDERANDO o que consta da Nota Técnica no 3/2019/CGSC/DECOM/SECEX, de 4 de fevereiro de 2019, no âmbito do processo MDIC/SECEX nº 52272.002071/2018-88, que trata da revisão da medida antidumping aplicada sobre as importações brasileiras de fios têxteis de filamentos contínuos de náilon (poliamida 6, poliamida 6,6) de título inferior a 50 </w:t>
      </w:r>
      <w:proofErr w:type="spellStart"/>
      <w:r w:rsidRPr="00A31820">
        <w:rPr>
          <w:sz w:val="24"/>
          <w:szCs w:val="24"/>
        </w:rPr>
        <w:t>tex</w:t>
      </w:r>
      <w:proofErr w:type="spellEnd"/>
      <w:r w:rsidRPr="00A31820">
        <w:rPr>
          <w:sz w:val="24"/>
          <w:szCs w:val="24"/>
        </w:rPr>
        <w:t xml:space="preserve">, qualquer número de filamentos, perfil ou </w:t>
      </w:r>
      <w:proofErr w:type="spellStart"/>
      <w:r w:rsidRPr="00A31820">
        <w:rPr>
          <w:sz w:val="24"/>
          <w:szCs w:val="24"/>
        </w:rPr>
        <w:t>maticidade</w:t>
      </w:r>
      <w:proofErr w:type="spellEnd"/>
      <w:r w:rsidRPr="00A31820">
        <w:rPr>
          <w:sz w:val="24"/>
          <w:szCs w:val="24"/>
        </w:rPr>
        <w:t xml:space="preserve"> (brilhante, opaco ou </w:t>
      </w:r>
      <w:proofErr w:type="spellStart"/>
      <w:r w:rsidRPr="00A31820">
        <w:rPr>
          <w:sz w:val="24"/>
          <w:szCs w:val="24"/>
        </w:rPr>
        <w:t>semi-opaco</w:t>
      </w:r>
      <w:proofErr w:type="spellEnd"/>
      <w:r w:rsidRPr="00A31820">
        <w:rPr>
          <w:sz w:val="24"/>
          <w:szCs w:val="24"/>
        </w:rPr>
        <w:t xml:space="preserve">), lisos ou texturizados, sem torção ou com torção inferior a 50 voltas por metro, tintos, crus ou branqueados (fios de náilon), comumente classificados nos subitens 5402.31.11, 5402.31.19 e 5402.45.20 da Nomenclatura Comum do Mercosul – NCM, originárias da China, Coreia do Sul, Tailândia e de Taipé Chinês, RESOLVE: </w:t>
      </w:r>
    </w:p>
    <w:p w:rsidR="00A31820" w:rsidRDefault="00A31820" w:rsidP="00697456">
      <w:pPr>
        <w:shd w:val="clear" w:color="auto" w:fill="FFFFFF"/>
        <w:spacing w:after="0" w:line="240" w:lineRule="auto"/>
        <w:rPr>
          <w:sz w:val="24"/>
          <w:szCs w:val="24"/>
        </w:rPr>
      </w:pPr>
    </w:p>
    <w:p w:rsidR="00A31820" w:rsidRDefault="00697456" w:rsidP="00697456">
      <w:pPr>
        <w:shd w:val="clear" w:color="auto" w:fill="FFFFFF"/>
        <w:spacing w:after="0" w:line="240" w:lineRule="auto"/>
        <w:rPr>
          <w:sz w:val="24"/>
          <w:szCs w:val="24"/>
        </w:rPr>
      </w:pPr>
      <w:r w:rsidRPr="00A31820">
        <w:rPr>
          <w:sz w:val="24"/>
          <w:szCs w:val="24"/>
        </w:rPr>
        <w:t xml:space="preserve">1. Tornar pública errata à Circular SECEX nº 65, de 21 de dezembro de 2018, publicada no Diário Oficial da União de 24 de dezembro de 2018, conforme Anexo 1 desta Circular. </w:t>
      </w:r>
    </w:p>
    <w:p w:rsidR="00A31820" w:rsidRDefault="00A31820" w:rsidP="00697456">
      <w:pPr>
        <w:shd w:val="clear" w:color="auto" w:fill="FFFFFF"/>
        <w:spacing w:after="0" w:line="240" w:lineRule="auto"/>
        <w:rPr>
          <w:sz w:val="24"/>
          <w:szCs w:val="24"/>
        </w:rPr>
      </w:pPr>
    </w:p>
    <w:p w:rsidR="00697456" w:rsidRPr="00A31820" w:rsidRDefault="00697456" w:rsidP="00697456">
      <w:pPr>
        <w:shd w:val="clear" w:color="auto" w:fill="FFFFFF"/>
        <w:spacing w:after="0" w:line="240" w:lineRule="auto"/>
        <w:rPr>
          <w:sz w:val="24"/>
          <w:szCs w:val="24"/>
        </w:rPr>
      </w:pPr>
      <w:r w:rsidRPr="00A31820">
        <w:rPr>
          <w:sz w:val="24"/>
          <w:szCs w:val="24"/>
        </w:rPr>
        <w:t xml:space="preserve">2. Declarar nulo o ato de início da revisão de final de período do direito antidumping aplicado sobre as importações de fios de náilon originárias especificamente da Tailândia, </w:t>
      </w:r>
      <w:r w:rsidRPr="00A31820">
        <w:rPr>
          <w:sz w:val="24"/>
          <w:szCs w:val="24"/>
        </w:rPr>
        <w:lastRenderedPageBreak/>
        <w:t>mantendo seus efeitos inalterados para as demais origens, nos termos da Circular SECEX nº 65, de 21 de dezembro de 2018, conforme Anexo 2 desta Circular. HERLON ALVES BRANDÃO</w:t>
      </w:r>
    </w:p>
    <w:p w:rsidR="00CA27B7" w:rsidRPr="00A31820" w:rsidRDefault="00CA27B7" w:rsidP="00697456">
      <w:pPr>
        <w:shd w:val="clear" w:color="auto" w:fill="FFFFFF"/>
        <w:spacing w:after="0" w:line="240" w:lineRule="auto"/>
        <w:rPr>
          <w:sz w:val="24"/>
          <w:szCs w:val="24"/>
        </w:rPr>
      </w:pPr>
    </w:p>
    <w:p w:rsidR="00CA27B7" w:rsidRPr="00A31820" w:rsidRDefault="00CA27B7" w:rsidP="00CA27B7">
      <w:pPr>
        <w:shd w:val="clear" w:color="auto" w:fill="FFFFFF"/>
        <w:spacing w:after="0" w:line="240" w:lineRule="auto"/>
        <w:rPr>
          <w:b/>
          <w:sz w:val="24"/>
          <w:szCs w:val="24"/>
        </w:rPr>
      </w:pPr>
      <w:r w:rsidRPr="00A31820">
        <w:rPr>
          <w:sz w:val="24"/>
          <w:szCs w:val="24"/>
        </w:rPr>
        <w:t>Conforme detalhamento constante do item 2 deste Documento, a conclusão acerca da existência de indícios de prática de dumping nas exportações originárias da Tailândia, que ensejou o início da revisão do direito antidumping aplicado sobre as importações originárias da referida origem, baseou-se em dados equivocados, os quais, uma vez corrigidos, acabaram por alterar as conclusões alcançadas. Portanto, o ato administrativo que iniciou a revisão da medida antidumping aplicada às importações de fios de náilon originárias da Tailândia deve ser considerado nulo e, uma vez que seu vício concerne ao motivo (defeito insanável), não é passível de convalidação (art. 55 da Lei no 9.784, de 1999). Trata-se de nulidade parcial, que atinge tão somente o início da revisão para a Tailândia. Dessa forma, mantêm-se inalterados os efeitos do início da revisão para China, Coreia do Sul e Taipé Chinês.</w:t>
      </w:r>
    </w:p>
    <w:p w:rsidR="00CA27B7" w:rsidRPr="00A31820" w:rsidRDefault="00CA27B7" w:rsidP="00697456">
      <w:pPr>
        <w:shd w:val="clear" w:color="auto" w:fill="FFFFFF"/>
        <w:spacing w:after="0" w:line="240" w:lineRule="auto"/>
        <w:rPr>
          <w:sz w:val="24"/>
          <w:szCs w:val="24"/>
        </w:rPr>
      </w:pPr>
    </w:p>
    <w:p w:rsidR="00CA27B7" w:rsidRPr="00A31820" w:rsidRDefault="00CA27B7" w:rsidP="00697456">
      <w:pPr>
        <w:shd w:val="clear" w:color="auto" w:fill="FFFFFF"/>
        <w:spacing w:after="0" w:line="240" w:lineRule="auto"/>
        <w:rPr>
          <w:sz w:val="24"/>
          <w:szCs w:val="24"/>
        </w:rPr>
      </w:pPr>
    </w:p>
    <w:p w:rsidR="007548EC" w:rsidRPr="007548EC" w:rsidRDefault="007548EC" w:rsidP="007548EC">
      <w:pPr>
        <w:spacing w:after="0" w:line="240" w:lineRule="auto"/>
        <w:jc w:val="center"/>
        <w:rPr>
          <w:rFonts w:eastAsia="Times New Roman" w:cs="Arial"/>
          <w:b/>
          <w:bCs/>
          <w:caps/>
          <w:color w:val="172938"/>
          <w:sz w:val="24"/>
          <w:szCs w:val="24"/>
          <w:shd w:val="clear" w:color="auto" w:fill="FFFFFF"/>
          <w:lang w:eastAsia="pt-BR"/>
        </w:rPr>
      </w:pPr>
      <w:r w:rsidRPr="007548EC">
        <w:rPr>
          <w:rFonts w:eastAsia="Times New Roman" w:cs="Arial"/>
          <w:b/>
          <w:bCs/>
          <w:caps/>
          <w:color w:val="172938"/>
          <w:sz w:val="24"/>
          <w:szCs w:val="24"/>
          <w:shd w:val="clear" w:color="auto" w:fill="FFFFFF"/>
          <w:lang w:eastAsia="pt-BR"/>
        </w:rPr>
        <w:t xml:space="preserve">CIRCULAR </w:t>
      </w:r>
      <w:r w:rsidR="00A31820">
        <w:rPr>
          <w:rFonts w:eastAsia="Times New Roman" w:cs="Arial"/>
          <w:b/>
          <w:bCs/>
          <w:caps/>
          <w:color w:val="172938"/>
          <w:sz w:val="24"/>
          <w:szCs w:val="24"/>
          <w:shd w:val="clear" w:color="auto" w:fill="FFFFFF"/>
          <w:lang w:eastAsia="pt-BR"/>
        </w:rPr>
        <w:t xml:space="preserve">secex </w:t>
      </w:r>
      <w:r w:rsidRPr="007548EC">
        <w:rPr>
          <w:rFonts w:eastAsia="Times New Roman" w:cs="Arial"/>
          <w:b/>
          <w:bCs/>
          <w:caps/>
          <w:color w:val="172938"/>
          <w:sz w:val="24"/>
          <w:szCs w:val="24"/>
          <w:shd w:val="clear" w:color="auto" w:fill="FFFFFF"/>
          <w:lang w:eastAsia="pt-BR"/>
        </w:rPr>
        <w:t>NO 14, DE 28 DE FEVEREIRO DE 2019</w:t>
      </w:r>
      <w:r w:rsidR="00A31820">
        <w:rPr>
          <w:rFonts w:eastAsia="Times New Roman" w:cs="Arial"/>
          <w:b/>
          <w:bCs/>
          <w:caps/>
          <w:color w:val="172938"/>
          <w:sz w:val="24"/>
          <w:szCs w:val="24"/>
          <w:shd w:val="clear" w:color="auto" w:fill="FFFFFF"/>
          <w:lang w:eastAsia="pt-BR"/>
        </w:rPr>
        <w:t xml:space="preserve"> (Dou 06/3/2019)</w:t>
      </w:r>
    </w:p>
    <w:p w:rsidR="00A31820" w:rsidRDefault="00A31820" w:rsidP="007548EC">
      <w:pPr>
        <w:spacing w:after="0" w:line="240" w:lineRule="auto"/>
        <w:ind w:firstLine="1200"/>
        <w:rPr>
          <w:rFonts w:eastAsia="Times New Roman" w:cs="Arial"/>
          <w:color w:val="162937"/>
          <w:sz w:val="24"/>
          <w:szCs w:val="24"/>
          <w:shd w:val="clear" w:color="auto" w:fill="FFFFFF"/>
          <w:lang w:eastAsia="pt-BR"/>
        </w:rPr>
      </w:pPr>
    </w:p>
    <w:p w:rsidR="007548EC" w:rsidRPr="007548EC" w:rsidRDefault="007548EC" w:rsidP="007548EC">
      <w:pPr>
        <w:spacing w:after="0" w:line="240" w:lineRule="auto"/>
        <w:ind w:firstLine="1200"/>
        <w:rPr>
          <w:rFonts w:eastAsia="Times New Roman" w:cs="Arial"/>
          <w:color w:val="162937"/>
          <w:sz w:val="24"/>
          <w:szCs w:val="24"/>
          <w:shd w:val="clear" w:color="auto" w:fill="FFFFFF"/>
          <w:lang w:eastAsia="pt-BR"/>
        </w:rPr>
      </w:pPr>
      <w:r w:rsidRPr="007548EC">
        <w:rPr>
          <w:rFonts w:eastAsia="Times New Roman" w:cs="Arial"/>
          <w:color w:val="162937"/>
          <w:sz w:val="24"/>
          <w:szCs w:val="24"/>
          <w:shd w:val="clear" w:color="auto" w:fill="FFFFFF"/>
          <w:lang w:eastAsia="pt-BR"/>
        </w:rPr>
        <w:t>O SECRETÁRIO DE COMÉRCIO EXTERIOR DA SECRETARIA ESPECIAL DE COMÉRCIO EXTERIOR E ASSUNTOS INTERNACIONAIS DO MINISTÉRIO DA ECONOMIA, em consonância com o disposto no Acordo sobre a Implementação do Artigo VI do Acordo Geral sobre Tarifas e Comércio - GATT 1994, aprovado pelo Decreto Legislativo no30, de 15 de dezembro de 1994, promulgado pelo Decreto no1.355, de 30 de dezembro de 1994 e o contido no Decreto no8.058, de 26 de julho de 2013, bem como no Decreto no9.679, de 2 de janeiro de 2019, especialmente o previsto no art. 85, e constante o Processo MDIC/SECEX 52272.001778/2018-77, decide:</w:t>
      </w:r>
    </w:p>
    <w:p w:rsidR="007548EC" w:rsidRPr="007548EC" w:rsidRDefault="007548EC" w:rsidP="007548EC">
      <w:pPr>
        <w:spacing w:after="0" w:line="240" w:lineRule="auto"/>
        <w:ind w:firstLine="1200"/>
        <w:rPr>
          <w:rFonts w:eastAsia="Times New Roman" w:cs="Arial"/>
          <w:color w:val="162937"/>
          <w:sz w:val="24"/>
          <w:szCs w:val="24"/>
          <w:shd w:val="clear" w:color="auto" w:fill="FFFFFF"/>
          <w:lang w:eastAsia="pt-BR"/>
        </w:rPr>
      </w:pPr>
      <w:r w:rsidRPr="007548EC">
        <w:rPr>
          <w:rFonts w:eastAsia="Times New Roman" w:cs="Arial"/>
          <w:color w:val="162937"/>
          <w:sz w:val="24"/>
          <w:szCs w:val="24"/>
          <w:shd w:val="clear" w:color="auto" w:fill="FFFFFF"/>
          <w:lang w:eastAsia="pt-BR"/>
        </w:rPr>
        <w:t>1. Prorrogar por até dois meses, a partir de 04 de agosto de 2019, o prazo para conclusão da revisão de final de período do direito antidumping aplicado às exportações para o Brasil de alhos frescos ou refrigerados, comumente classificadas nos itens 0703.20.10 e 0703.20.90 da Nomenclatura Comum do Mercosul - NCM, originárias da China, objeto do processo MDIC/SECEX nº 52272.001778/2018-77.</w:t>
      </w:r>
    </w:p>
    <w:p w:rsidR="007548EC" w:rsidRDefault="007548EC" w:rsidP="007548EC">
      <w:pPr>
        <w:spacing w:after="0" w:line="240" w:lineRule="auto"/>
        <w:ind w:firstLine="1200"/>
        <w:rPr>
          <w:rFonts w:eastAsia="Times New Roman" w:cs="Arial"/>
          <w:color w:val="162937"/>
          <w:sz w:val="24"/>
          <w:szCs w:val="24"/>
          <w:shd w:val="clear" w:color="auto" w:fill="FFFFFF"/>
          <w:lang w:eastAsia="pt-BR"/>
        </w:rPr>
      </w:pPr>
      <w:r w:rsidRPr="007548EC">
        <w:rPr>
          <w:rFonts w:eastAsia="Times New Roman" w:cs="Arial"/>
          <w:color w:val="162937"/>
          <w:sz w:val="24"/>
          <w:szCs w:val="24"/>
          <w:shd w:val="clear" w:color="auto" w:fill="FFFFFF"/>
          <w:lang w:eastAsia="pt-BR"/>
        </w:rPr>
        <w:t xml:space="preserve">2. Tornar públicos os prazos a que fazem referência os </w:t>
      </w:r>
      <w:proofErr w:type="spellStart"/>
      <w:r w:rsidRPr="007548EC">
        <w:rPr>
          <w:rFonts w:eastAsia="Times New Roman" w:cs="Arial"/>
          <w:color w:val="162937"/>
          <w:sz w:val="24"/>
          <w:szCs w:val="24"/>
          <w:shd w:val="clear" w:color="auto" w:fill="FFFFFF"/>
          <w:lang w:eastAsia="pt-BR"/>
        </w:rPr>
        <w:t>arts</w:t>
      </w:r>
      <w:proofErr w:type="spellEnd"/>
      <w:r w:rsidRPr="007548EC">
        <w:rPr>
          <w:rFonts w:eastAsia="Times New Roman" w:cs="Arial"/>
          <w:color w:val="162937"/>
          <w:sz w:val="24"/>
          <w:szCs w:val="24"/>
          <w:shd w:val="clear" w:color="auto" w:fill="FFFFFF"/>
          <w:lang w:eastAsia="pt-BR"/>
        </w:rPr>
        <w:t>. 59 a 63 do Decreto no8.058, de 2013:</w:t>
      </w:r>
    </w:p>
    <w:p w:rsidR="00A31820" w:rsidRPr="007548EC" w:rsidRDefault="00A31820" w:rsidP="007548EC">
      <w:pPr>
        <w:spacing w:after="0" w:line="240" w:lineRule="auto"/>
        <w:ind w:firstLine="1200"/>
        <w:rPr>
          <w:rFonts w:eastAsia="Times New Roman" w:cs="Arial"/>
          <w:color w:val="162937"/>
          <w:sz w:val="24"/>
          <w:szCs w:val="24"/>
          <w:shd w:val="clear" w:color="auto" w:fill="FFFFFF"/>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977"/>
        <w:gridCol w:w="5241"/>
        <w:gridCol w:w="1286"/>
      </w:tblGrid>
      <w:tr w:rsidR="007548EC" w:rsidRPr="007548EC" w:rsidTr="007548EC">
        <w:trPr>
          <w:gridAfter w:val="2"/>
        </w:trPr>
        <w:tc>
          <w:tcPr>
            <w:tcW w:w="0" w:type="auto"/>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shd w:val="clear" w:color="auto" w:fill="FFFFFF"/>
                <w:lang w:eastAsia="pt-BR"/>
              </w:rPr>
            </w:pP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Disposição legal Decreto nº 8.058/2013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Prazos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Datas previstas</w:t>
            </w: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Art. 59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Encerramento da fase probatória da revisão.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05/06/2019</w:t>
            </w: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Art. 60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Encerramento da fase de manifestação sobre os dados e as informações constantes dos autos.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25/06/2019</w:t>
            </w: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Art. 61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Divulgação da nota técnica contendo os fatos essenciais que se encontram em análise e que serão considerados na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25/07/2019</w:t>
            </w: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lastRenderedPageBreak/>
              <w:t>Art. 62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Encerramento do prazo para apresentação das manifestações finais pelas partes interessadas e Encerramento da fase de instrução do processo.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14/08/2019</w:t>
            </w:r>
          </w:p>
        </w:tc>
      </w:tr>
      <w:tr w:rsidR="007548EC" w:rsidRPr="007548EC" w:rsidTr="007548E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Art. 63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Expedição, pelo DECOM, do parecer de determinação final.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548EC" w:rsidRPr="007548EC" w:rsidRDefault="007548EC" w:rsidP="007548EC">
            <w:pPr>
              <w:spacing w:after="0" w:line="240" w:lineRule="auto"/>
              <w:jc w:val="left"/>
              <w:rPr>
                <w:rFonts w:eastAsia="Times New Roman" w:cs="Arial"/>
                <w:color w:val="162937"/>
                <w:sz w:val="24"/>
                <w:szCs w:val="24"/>
                <w:lang w:eastAsia="pt-BR"/>
              </w:rPr>
            </w:pPr>
            <w:r w:rsidRPr="007548EC">
              <w:rPr>
                <w:rFonts w:eastAsia="Times New Roman" w:cs="Arial"/>
                <w:color w:val="162937"/>
                <w:sz w:val="24"/>
                <w:szCs w:val="24"/>
                <w:lang w:eastAsia="pt-BR"/>
              </w:rPr>
              <w:t>03/09/2019</w:t>
            </w:r>
          </w:p>
        </w:tc>
      </w:tr>
    </w:tbl>
    <w:p w:rsidR="007548EC" w:rsidRPr="007548EC" w:rsidRDefault="007548EC" w:rsidP="007548EC">
      <w:pPr>
        <w:spacing w:after="0" w:line="240" w:lineRule="auto"/>
        <w:jc w:val="center"/>
        <w:rPr>
          <w:rFonts w:eastAsia="Times New Roman" w:cs="Arial"/>
          <w:caps/>
          <w:color w:val="162937"/>
          <w:sz w:val="24"/>
          <w:szCs w:val="24"/>
          <w:lang w:eastAsia="pt-BR"/>
        </w:rPr>
      </w:pPr>
      <w:r w:rsidRPr="007548EC">
        <w:rPr>
          <w:rFonts w:eastAsia="Times New Roman" w:cs="Arial"/>
          <w:caps/>
          <w:color w:val="162937"/>
          <w:sz w:val="24"/>
          <w:szCs w:val="24"/>
          <w:shd w:val="clear" w:color="auto" w:fill="FFFFFF"/>
          <w:lang w:eastAsia="pt-BR"/>
        </w:rPr>
        <w:t>LUCAS FER</w:t>
      </w:r>
      <w:bookmarkStart w:id="0" w:name="_GoBack"/>
      <w:bookmarkEnd w:id="0"/>
      <w:r w:rsidRPr="007548EC">
        <w:rPr>
          <w:rFonts w:eastAsia="Times New Roman" w:cs="Arial"/>
          <w:caps/>
          <w:color w:val="162937"/>
          <w:sz w:val="24"/>
          <w:szCs w:val="24"/>
          <w:shd w:val="clear" w:color="auto" w:fill="FFFFFF"/>
          <w:lang w:eastAsia="pt-BR"/>
        </w:rPr>
        <w:t>RAZ</w:t>
      </w:r>
    </w:p>
    <w:sectPr w:rsidR="007548EC" w:rsidRPr="00754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9"/>
  </w:num>
  <w:num w:numId="5">
    <w:abstractNumId w:val="17"/>
  </w:num>
  <w:num w:numId="6">
    <w:abstractNumId w:val="5"/>
  </w:num>
  <w:num w:numId="7">
    <w:abstractNumId w:val="12"/>
  </w:num>
  <w:num w:numId="8">
    <w:abstractNumId w:val="8"/>
  </w:num>
  <w:num w:numId="9">
    <w:abstractNumId w:val="2"/>
  </w:num>
  <w:num w:numId="10">
    <w:abstractNumId w:val="13"/>
  </w:num>
  <w:num w:numId="11">
    <w:abstractNumId w:val="4"/>
  </w:num>
  <w:num w:numId="12">
    <w:abstractNumId w:val="18"/>
  </w:num>
  <w:num w:numId="13">
    <w:abstractNumId w:val="7"/>
  </w:num>
  <w:num w:numId="14">
    <w:abstractNumId w:val="16"/>
  </w:num>
  <w:num w:numId="15">
    <w:abstractNumId w:val="1"/>
  </w:num>
  <w:num w:numId="16">
    <w:abstractNumId w:val="14"/>
  </w:num>
  <w:num w:numId="17">
    <w:abstractNumId w:val="0"/>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380A"/>
    <w:rsid w:val="00284274"/>
    <w:rsid w:val="00291EE6"/>
    <w:rsid w:val="00292FEE"/>
    <w:rsid w:val="00293FE3"/>
    <w:rsid w:val="00294F5D"/>
    <w:rsid w:val="0029546B"/>
    <w:rsid w:val="0029677A"/>
    <w:rsid w:val="0029691F"/>
    <w:rsid w:val="002979EA"/>
    <w:rsid w:val="00297A9B"/>
    <w:rsid w:val="00297D57"/>
    <w:rsid w:val="002A08EF"/>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7F8"/>
    <w:rsid w:val="002D6A1E"/>
    <w:rsid w:val="002D6EFF"/>
    <w:rsid w:val="002D70A2"/>
    <w:rsid w:val="002E5E81"/>
    <w:rsid w:val="002E62A3"/>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2241"/>
    <w:rsid w:val="0059294C"/>
    <w:rsid w:val="0059441E"/>
    <w:rsid w:val="0059649D"/>
    <w:rsid w:val="005968CE"/>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124"/>
    <w:rsid w:val="00615328"/>
    <w:rsid w:val="006172C0"/>
    <w:rsid w:val="00620225"/>
    <w:rsid w:val="006214CA"/>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6045D"/>
    <w:rsid w:val="006626B5"/>
    <w:rsid w:val="00662AEC"/>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456"/>
    <w:rsid w:val="006A121A"/>
    <w:rsid w:val="006A1FB1"/>
    <w:rsid w:val="006A395E"/>
    <w:rsid w:val="006A4A22"/>
    <w:rsid w:val="006A4E45"/>
    <w:rsid w:val="006A511B"/>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077B8"/>
    <w:rsid w:val="00911F91"/>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5B1F"/>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F63"/>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3E39"/>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1125</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5</cp:revision>
  <dcterms:created xsi:type="dcterms:W3CDTF">2019-03-15T19:13:00Z</dcterms:created>
  <dcterms:modified xsi:type="dcterms:W3CDTF">2019-03-18T15:00:00Z</dcterms:modified>
</cp:coreProperties>
</file>