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E81A37">
        <w:rPr>
          <w:b/>
          <w:sz w:val="24"/>
          <w:szCs w:val="24"/>
        </w:rPr>
        <w:t>5</w:t>
      </w:r>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proofErr w:type="gramStart"/>
      <w:r w:rsidRPr="00F80E00">
        <w:rPr>
          <w:sz w:val="24"/>
          <w:szCs w:val="24"/>
        </w:rPr>
        <w:t>Prezado Associado</w:t>
      </w:r>
      <w:proofErr w:type="gramEnd"/>
      <w:r w:rsidRPr="00F80E00">
        <w:rPr>
          <w:sz w:val="24"/>
          <w:szCs w:val="24"/>
        </w:rPr>
        <w:t>,</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CF1789" w:rsidRDefault="00CF1789" w:rsidP="00C16C50">
      <w:pPr>
        <w:rPr>
          <w:sz w:val="24"/>
          <w:szCs w:val="24"/>
        </w:rPr>
      </w:pPr>
    </w:p>
    <w:p w:rsidR="00494FAF" w:rsidRDefault="00BA4284" w:rsidP="008747D0">
      <w:pPr>
        <w:shd w:val="clear" w:color="auto" w:fill="FFFFFF"/>
        <w:spacing w:after="0" w:line="240" w:lineRule="auto"/>
        <w:rPr>
          <w:rFonts w:cs="Arial"/>
          <w:b/>
          <w:bCs/>
          <w:color w:val="222222"/>
          <w:sz w:val="24"/>
          <w:szCs w:val="24"/>
          <w:shd w:val="clear" w:color="auto" w:fill="FFFFFF"/>
        </w:rPr>
      </w:pPr>
      <w:r w:rsidRPr="00BA4284">
        <w:rPr>
          <w:rFonts w:eastAsia="Times New Roman" w:cs="Arial"/>
          <w:b/>
          <w:bCs/>
          <w:color w:val="222222"/>
          <w:sz w:val="24"/>
          <w:szCs w:val="24"/>
          <w:lang w:eastAsia="pt-BR"/>
        </w:rPr>
        <w:t>LONA DE POLICLORETO DE VINILA (PVC)</w:t>
      </w:r>
      <w:r>
        <w:rPr>
          <w:rFonts w:eastAsia="Times New Roman" w:cs="Arial"/>
          <w:b/>
          <w:bCs/>
          <w:color w:val="222222"/>
          <w:sz w:val="24"/>
          <w:szCs w:val="24"/>
          <w:lang w:eastAsia="pt-BR"/>
        </w:rPr>
        <w:t xml:space="preserve"> (NCM 3921.90.19)</w:t>
      </w:r>
      <w:r w:rsidRPr="00BA4284">
        <w:rPr>
          <w:rFonts w:eastAsia="Times New Roman" w:cs="Arial"/>
          <w:b/>
          <w:bCs/>
          <w:color w:val="222222"/>
          <w:sz w:val="24"/>
          <w:szCs w:val="24"/>
          <w:lang w:eastAsia="pt-BR"/>
        </w:rPr>
        <w:t> </w:t>
      </w:r>
      <w:r w:rsidR="008747D0">
        <w:rPr>
          <w:rFonts w:cs="Arial"/>
          <w:b/>
          <w:bCs/>
          <w:color w:val="222222"/>
          <w:sz w:val="24"/>
          <w:szCs w:val="24"/>
          <w:shd w:val="clear" w:color="auto" w:fill="FFFFFF"/>
        </w:rPr>
        <w:t xml:space="preserve"> </w:t>
      </w:r>
    </w:p>
    <w:p w:rsidR="007F588A" w:rsidRDefault="008E01E5" w:rsidP="007F588A">
      <w:pPr>
        <w:spacing w:after="240" w:line="240" w:lineRule="auto"/>
        <w:textAlignment w:val="top"/>
        <w:rPr>
          <w:rFonts w:eastAsia="Times New Roman" w:cs="Arial"/>
          <w:b/>
          <w:bCs/>
          <w:color w:val="222222"/>
          <w:sz w:val="24"/>
          <w:szCs w:val="24"/>
          <w:lang w:eastAsia="pt-BR"/>
        </w:rPr>
      </w:pPr>
      <w:r w:rsidRPr="008E01E5">
        <w:rPr>
          <w:rFonts w:eastAsia="Times New Roman" w:cs="Arial"/>
          <w:b/>
          <w:bCs/>
          <w:color w:val="222222"/>
          <w:sz w:val="24"/>
          <w:szCs w:val="24"/>
          <w:lang w:eastAsia="pt-BR"/>
        </w:rPr>
        <w:t>SAPATILHAS PARA KART (NCM 6402 A 6405) </w:t>
      </w:r>
    </w:p>
    <w:p w:rsidR="002049F8" w:rsidRDefault="002049F8" w:rsidP="007F588A">
      <w:pPr>
        <w:spacing w:after="240" w:line="240" w:lineRule="auto"/>
        <w:textAlignment w:val="top"/>
        <w:rPr>
          <w:rFonts w:cs="Arial"/>
          <w:b/>
          <w:bCs/>
          <w:color w:val="222222"/>
          <w:sz w:val="24"/>
          <w:szCs w:val="24"/>
          <w:shd w:val="clear" w:color="auto" w:fill="FFFFFF"/>
        </w:rPr>
      </w:pPr>
      <w:r w:rsidRPr="008E01E5">
        <w:rPr>
          <w:rFonts w:eastAsia="Times New Roman" w:cs="Arial"/>
          <w:b/>
          <w:bCs/>
          <w:color w:val="222222"/>
          <w:sz w:val="24"/>
          <w:szCs w:val="24"/>
          <w:lang w:eastAsia="pt-BR"/>
        </w:rPr>
        <w:t>SA</w:t>
      </w:r>
      <w:r>
        <w:rPr>
          <w:rFonts w:eastAsia="Times New Roman" w:cs="Arial"/>
          <w:b/>
          <w:bCs/>
          <w:color w:val="222222"/>
          <w:sz w:val="24"/>
          <w:szCs w:val="24"/>
          <w:lang w:eastAsia="pt-BR"/>
        </w:rPr>
        <w:t>COS DE JUTA</w:t>
      </w:r>
      <w:r w:rsidRPr="008E01E5">
        <w:rPr>
          <w:rFonts w:eastAsia="Times New Roman" w:cs="Arial"/>
          <w:b/>
          <w:bCs/>
          <w:color w:val="222222"/>
          <w:sz w:val="24"/>
          <w:szCs w:val="24"/>
          <w:lang w:eastAsia="pt-BR"/>
        </w:rPr>
        <w:t xml:space="preserve"> (NCM 6</w:t>
      </w:r>
      <w:r>
        <w:rPr>
          <w:rFonts w:eastAsia="Times New Roman" w:cs="Arial"/>
          <w:b/>
          <w:bCs/>
          <w:color w:val="222222"/>
          <w:sz w:val="24"/>
          <w:szCs w:val="24"/>
          <w:lang w:eastAsia="pt-BR"/>
        </w:rPr>
        <w:t>305.10.00</w:t>
      </w:r>
      <w:r w:rsidRPr="008E01E5">
        <w:rPr>
          <w:rFonts w:eastAsia="Times New Roman" w:cs="Arial"/>
          <w:b/>
          <w:bCs/>
          <w:color w:val="222222"/>
          <w:sz w:val="24"/>
          <w:szCs w:val="24"/>
          <w:lang w:eastAsia="pt-BR"/>
        </w:rPr>
        <w:t>)</w:t>
      </w:r>
    </w:p>
    <w:p w:rsidR="006537B1" w:rsidRPr="00BA4284" w:rsidRDefault="0090356F" w:rsidP="00A01BA0">
      <w:pPr>
        <w:rPr>
          <w:rFonts w:eastAsia="Times New Roman" w:cs="Arial"/>
          <w:color w:val="222222"/>
          <w:sz w:val="24"/>
          <w:szCs w:val="24"/>
          <w:lang w:eastAsia="pt-BR"/>
        </w:rPr>
      </w:pPr>
      <w:r>
        <w:rPr>
          <w:rFonts w:eastAsia="Times New Roman" w:cs="Arial"/>
          <w:b/>
          <w:bCs/>
          <w:color w:val="222222"/>
          <w:sz w:val="24"/>
          <w:szCs w:val="24"/>
          <w:lang w:eastAsia="pt-BR"/>
        </w:rPr>
        <w:t>FIOS DE NAILON</w:t>
      </w:r>
      <w:r w:rsidR="006537B1" w:rsidRPr="008E01E5">
        <w:rPr>
          <w:rFonts w:eastAsia="Times New Roman" w:cs="Arial"/>
          <w:b/>
          <w:bCs/>
          <w:color w:val="222222"/>
          <w:sz w:val="24"/>
          <w:szCs w:val="24"/>
          <w:lang w:eastAsia="pt-BR"/>
        </w:rPr>
        <w:t xml:space="preserve"> (NCM </w:t>
      </w:r>
      <w:r w:rsidRPr="0090356F">
        <w:rPr>
          <w:b/>
          <w:sz w:val="24"/>
          <w:szCs w:val="24"/>
        </w:rPr>
        <w:t>5402.31.11, 5402.31.19 e 5402.45.20</w:t>
      </w:r>
    </w:p>
    <w:p w:rsidR="006537B1" w:rsidRDefault="006537B1" w:rsidP="003C7813">
      <w:pPr>
        <w:rPr>
          <w:rFonts w:cs="Arial"/>
          <w:b/>
          <w:bCs/>
          <w:color w:val="222222"/>
          <w:sz w:val="24"/>
          <w:szCs w:val="24"/>
          <w:shd w:val="clear" w:color="auto" w:fill="FFFFFF"/>
        </w:rPr>
      </w:pPr>
    </w:p>
    <w:p w:rsidR="00AC6562" w:rsidRDefault="00AC6562" w:rsidP="00AC6562">
      <w:pPr>
        <w:spacing w:before="150" w:after="150" w:line="240" w:lineRule="auto"/>
        <w:textAlignment w:val="top"/>
        <w:rPr>
          <w:sz w:val="24"/>
          <w:szCs w:val="24"/>
        </w:rPr>
      </w:pPr>
      <w:r>
        <w:rPr>
          <w:rFonts w:eastAsia="Times New Roman" w:cs="Arial"/>
          <w:b/>
          <w:bCs/>
          <w:color w:val="222222"/>
          <w:sz w:val="24"/>
          <w:szCs w:val="24"/>
          <w:lang w:eastAsia="pt-BR"/>
        </w:rPr>
        <w:t>RESINA DE POLIPROPILENO</w:t>
      </w:r>
      <w:r w:rsidRPr="008E01E5">
        <w:rPr>
          <w:rFonts w:eastAsia="Times New Roman" w:cs="Arial"/>
          <w:b/>
          <w:bCs/>
          <w:color w:val="222222"/>
          <w:sz w:val="24"/>
          <w:szCs w:val="24"/>
          <w:lang w:eastAsia="pt-BR"/>
        </w:rPr>
        <w:t xml:space="preserve"> (NCM</w:t>
      </w:r>
      <w:r w:rsidR="00A1746A">
        <w:rPr>
          <w:rFonts w:eastAsia="Times New Roman" w:cs="Arial"/>
          <w:b/>
          <w:bCs/>
          <w:color w:val="222222"/>
          <w:sz w:val="24"/>
          <w:szCs w:val="24"/>
          <w:lang w:eastAsia="pt-BR"/>
        </w:rPr>
        <w:t xml:space="preserve"> </w:t>
      </w:r>
      <w:r w:rsidR="00A1746A" w:rsidRPr="00A1746A">
        <w:rPr>
          <w:b/>
          <w:sz w:val="24"/>
          <w:szCs w:val="24"/>
        </w:rPr>
        <w:t>3902.10.20 e 3902.30.00</w:t>
      </w:r>
    </w:p>
    <w:p w:rsidR="00494FAF" w:rsidRDefault="000A5B27" w:rsidP="007F588A">
      <w:pPr>
        <w:spacing w:before="150" w:after="150" w:line="240" w:lineRule="auto"/>
        <w:textAlignment w:val="top"/>
        <w:rPr>
          <w:rFonts w:cs="Arial"/>
          <w:b/>
          <w:bCs/>
          <w:color w:val="222222"/>
          <w:sz w:val="24"/>
          <w:szCs w:val="24"/>
          <w:shd w:val="clear" w:color="auto" w:fill="FFFFFF"/>
        </w:rPr>
      </w:pPr>
      <w:r>
        <w:rPr>
          <w:rFonts w:eastAsia="Times New Roman" w:cs="Arial"/>
          <w:b/>
          <w:bCs/>
          <w:color w:val="222222"/>
          <w:sz w:val="24"/>
          <w:szCs w:val="24"/>
          <w:lang w:eastAsia="pt-BR"/>
        </w:rPr>
        <w:t>NBUTANOL (NCM 2905.13.00</w:t>
      </w:r>
      <w:r w:rsidR="00494FAF" w:rsidRPr="00494FAF">
        <w:rPr>
          <w:rFonts w:eastAsia="Times New Roman" w:cs="Arial"/>
          <w:b/>
          <w:bCs/>
          <w:color w:val="222222"/>
          <w:sz w:val="24"/>
          <w:szCs w:val="24"/>
          <w:lang w:eastAsia="pt-BR"/>
        </w:rPr>
        <w:t>)</w:t>
      </w:r>
      <w:r w:rsidR="007F588A">
        <w:rPr>
          <w:rFonts w:cs="Arial"/>
          <w:b/>
          <w:bCs/>
          <w:color w:val="222222"/>
          <w:sz w:val="24"/>
          <w:szCs w:val="24"/>
          <w:shd w:val="clear" w:color="auto" w:fill="FFFFFF"/>
        </w:rPr>
        <w:t xml:space="preserve"> </w:t>
      </w:r>
    </w:p>
    <w:p w:rsidR="00AF6DBC" w:rsidRDefault="00AF6DBC" w:rsidP="003C7813">
      <w:pPr>
        <w:rPr>
          <w:rFonts w:cs="Arial"/>
          <w:b/>
          <w:bCs/>
          <w:color w:val="222222"/>
          <w:sz w:val="24"/>
          <w:szCs w:val="24"/>
          <w:shd w:val="clear" w:color="auto" w:fill="FFFFFF"/>
        </w:rPr>
      </w:pPr>
    </w:p>
    <w:p w:rsidR="001E6DEA" w:rsidRDefault="00836FA0" w:rsidP="007F588A">
      <w:pPr>
        <w:spacing w:before="150" w:after="150" w:line="240" w:lineRule="auto"/>
        <w:textAlignment w:val="top"/>
        <w:rPr>
          <w:rFonts w:cs="Arial"/>
          <w:b/>
          <w:bCs/>
          <w:color w:val="222222"/>
          <w:sz w:val="24"/>
          <w:szCs w:val="24"/>
          <w:shd w:val="clear" w:color="auto" w:fill="FFFFFF"/>
        </w:rPr>
      </w:pPr>
      <w:r>
        <w:rPr>
          <w:rFonts w:eastAsia="Times New Roman" w:cs="Arial"/>
          <w:b/>
          <w:bCs/>
          <w:color w:val="222222"/>
          <w:sz w:val="24"/>
          <w:szCs w:val="24"/>
          <w:lang w:eastAsia="pt-BR"/>
        </w:rPr>
        <w:t>MONOCÁLCICO MONO-HIDRATADO GRAU ALIMENTÍCIO -MCP -</w:t>
      </w:r>
      <w:r w:rsidR="001E6DEA">
        <w:rPr>
          <w:rFonts w:eastAsia="Times New Roman" w:cs="Arial"/>
          <w:b/>
          <w:bCs/>
          <w:color w:val="222222"/>
          <w:sz w:val="24"/>
          <w:szCs w:val="24"/>
          <w:lang w:eastAsia="pt-BR"/>
        </w:rPr>
        <w:t xml:space="preserve"> (NCM 2</w:t>
      </w:r>
      <w:r>
        <w:rPr>
          <w:rFonts w:eastAsia="Times New Roman" w:cs="Arial"/>
          <w:b/>
          <w:bCs/>
          <w:color w:val="222222"/>
          <w:sz w:val="24"/>
          <w:szCs w:val="24"/>
          <w:lang w:eastAsia="pt-BR"/>
        </w:rPr>
        <w:t>835</w:t>
      </w:r>
      <w:r w:rsidR="001E6DEA">
        <w:rPr>
          <w:rFonts w:eastAsia="Times New Roman" w:cs="Arial"/>
          <w:b/>
          <w:bCs/>
          <w:color w:val="222222"/>
          <w:sz w:val="24"/>
          <w:szCs w:val="24"/>
          <w:lang w:eastAsia="pt-BR"/>
        </w:rPr>
        <w:t>.</w:t>
      </w:r>
      <w:r>
        <w:rPr>
          <w:rFonts w:eastAsia="Times New Roman" w:cs="Arial"/>
          <w:b/>
          <w:bCs/>
          <w:color w:val="222222"/>
          <w:sz w:val="24"/>
          <w:szCs w:val="24"/>
          <w:lang w:eastAsia="pt-BR"/>
        </w:rPr>
        <w:t>26</w:t>
      </w:r>
      <w:r w:rsidR="001E6DEA">
        <w:rPr>
          <w:rFonts w:eastAsia="Times New Roman" w:cs="Arial"/>
          <w:b/>
          <w:bCs/>
          <w:color w:val="222222"/>
          <w:sz w:val="24"/>
          <w:szCs w:val="24"/>
          <w:lang w:eastAsia="pt-BR"/>
        </w:rPr>
        <w:t>.00</w:t>
      </w:r>
      <w:r w:rsidR="001E6DEA" w:rsidRPr="00494FAF">
        <w:rPr>
          <w:rFonts w:eastAsia="Times New Roman" w:cs="Arial"/>
          <w:b/>
          <w:bCs/>
          <w:color w:val="222222"/>
          <w:sz w:val="24"/>
          <w:szCs w:val="24"/>
          <w:lang w:eastAsia="pt-BR"/>
        </w:rPr>
        <w:t>)</w:t>
      </w:r>
      <w:r w:rsidR="007F588A">
        <w:rPr>
          <w:rFonts w:cs="Arial"/>
          <w:b/>
          <w:bCs/>
          <w:color w:val="222222"/>
          <w:sz w:val="24"/>
          <w:szCs w:val="24"/>
          <w:shd w:val="clear" w:color="auto" w:fill="FFFFFF"/>
        </w:rPr>
        <w:t xml:space="preserve"> </w:t>
      </w:r>
    </w:p>
    <w:p w:rsidR="00AF6DBC" w:rsidRDefault="00AF6DBC" w:rsidP="003C7813">
      <w:pPr>
        <w:rPr>
          <w:rFonts w:cs="Arial"/>
          <w:b/>
          <w:bCs/>
          <w:color w:val="222222"/>
          <w:sz w:val="24"/>
          <w:szCs w:val="24"/>
          <w:shd w:val="clear" w:color="auto" w:fill="FFFFFF"/>
        </w:rPr>
      </w:pPr>
    </w:p>
    <w:p w:rsidR="000F67A9" w:rsidRPr="00BA4284" w:rsidRDefault="000F67A9" w:rsidP="000F67A9">
      <w:pPr>
        <w:spacing w:before="150" w:after="150" w:line="240" w:lineRule="auto"/>
        <w:textAlignment w:val="top"/>
        <w:rPr>
          <w:rFonts w:eastAsia="Times New Roman" w:cs="Arial"/>
          <w:color w:val="222222"/>
          <w:sz w:val="24"/>
          <w:szCs w:val="24"/>
          <w:lang w:eastAsia="pt-BR"/>
        </w:rPr>
      </w:pPr>
      <w:r>
        <w:rPr>
          <w:rFonts w:eastAsia="Times New Roman" w:cs="Arial"/>
          <w:b/>
          <w:bCs/>
          <w:color w:val="222222"/>
          <w:sz w:val="24"/>
          <w:szCs w:val="24"/>
          <w:lang w:eastAsia="pt-BR"/>
        </w:rPr>
        <w:t>BARRAS CHATAS DE AÇO LIGADO</w:t>
      </w:r>
      <w:r w:rsidR="0063156C" w:rsidRPr="008E01E5">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7228.30.00</w:t>
      </w:r>
      <w:r w:rsidR="0063156C" w:rsidRPr="00A1746A">
        <w:rPr>
          <w:rFonts w:eastAsia="Times New Roman" w:cs="Arial"/>
          <w:b/>
          <w:bCs/>
          <w:color w:val="222222"/>
          <w:sz w:val="24"/>
          <w:szCs w:val="24"/>
          <w:lang w:eastAsia="pt-BR"/>
        </w:rPr>
        <w:t>)</w:t>
      </w:r>
      <w:r w:rsidR="0063156C" w:rsidRPr="008E01E5">
        <w:rPr>
          <w:rFonts w:eastAsia="Times New Roman" w:cs="Arial"/>
          <w:b/>
          <w:bCs/>
          <w:color w:val="222222"/>
          <w:sz w:val="24"/>
          <w:szCs w:val="24"/>
          <w:lang w:eastAsia="pt-BR"/>
        </w:rPr>
        <w:t> </w:t>
      </w:r>
    </w:p>
    <w:p w:rsidR="0063156C" w:rsidRDefault="0063156C" w:rsidP="0063156C">
      <w:pPr>
        <w:shd w:val="clear" w:color="auto" w:fill="FFFFFF"/>
        <w:spacing w:after="0" w:line="240" w:lineRule="auto"/>
        <w:rPr>
          <w:rFonts w:eastAsia="Times New Roman" w:cs="Arial"/>
          <w:b/>
          <w:bCs/>
          <w:color w:val="222222"/>
          <w:sz w:val="24"/>
          <w:szCs w:val="24"/>
          <w:lang w:eastAsia="pt-BR"/>
        </w:rPr>
      </w:pPr>
    </w:p>
    <w:p w:rsidR="00C5366D" w:rsidRPr="00BA4284" w:rsidRDefault="004811E8" w:rsidP="00A01BA0">
      <w:pPr>
        <w:spacing w:before="150" w:after="150" w:line="240" w:lineRule="auto"/>
        <w:textAlignment w:val="top"/>
        <w:rPr>
          <w:rFonts w:eastAsia="Times New Roman" w:cs="Arial"/>
          <w:color w:val="222222"/>
          <w:sz w:val="24"/>
          <w:szCs w:val="24"/>
          <w:lang w:eastAsia="pt-BR"/>
        </w:rPr>
      </w:pPr>
      <w:r>
        <w:rPr>
          <w:rFonts w:eastAsia="Times New Roman" w:cs="Arial"/>
          <w:b/>
          <w:bCs/>
          <w:color w:val="222222"/>
          <w:sz w:val="24"/>
          <w:szCs w:val="24"/>
          <w:lang w:eastAsia="pt-BR"/>
        </w:rPr>
        <w:t>B</w:t>
      </w:r>
      <w:r w:rsidR="001448FB">
        <w:rPr>
          <w:rFonts w:eastAsia="Times New Roman" w:cs="Arial"/>
          <w:b/>
          <w:bCs/>
          <w:color w:val="222222"/>
          <w:sz w:val="24"/>
          <w:szCs w:val="24"/>
          <w:lang w:eastAsia="pt-BR"/>
        </w:rPr>
        <w:t>ORRACHA DE ESTIRENO-BUTADIENO POLIMERIZADA (E-SBR)</w:t>
      </w:r>
      <w:r w:rsidRPr="008E01E5">
        <w:rPr>
          <w:rFonts w:eastAsia="Times New Roman" w:cs="Arial"/>
          <w:b/>
          <w:bCs/>
          <w:color w:val="222222"/>
          <w:sz w:val="24"/>
          <w:szCs w:val="24"/>
          <w:lang w:eastAsia="pt-BR"/>
        </w:rPr>
        <w:t xml:space="preserve"> (NCM</w:t>
      </w:r>
      <w:r w:rsidR="001448FB">
        <w:rPr>
          <w:rFonts w:eastAsia="Times New Roman" w:cs="Arial"/>
          <w:b/>
          <w:bCs/>
          <w:color w:val="222222"/>
          <w:sz w:val="24"/>
          <w:szCs w:val="24"/>
          <w:lang w:eastAsia="pt-BR"/>
        </w:rPr>
        <w:t xml:space="preserve"> 4002.19.11 E 4002.19.19</w:t>
      </w:r>
      <w:r w:rsidRPr="00A1746A">
        <w:rPr>
          <w:rFonts w:eastAsia="Times New Roman" w:cs="Arial"/>
          <w:b/>
          <w:bCs/>
          <w:color w:val="222222"/>
          <w:sz w:val="24"/>
          <w:szCs w:val="24"/>
          <w:lang w:eastAsia="pt-BR"/>
        </w:rPr>
        <w:t>)</w:t>
      </w:r>
    </w:p>
    <w:p w:rsidR="004811E8" w:rsidRPr="00AA1ABE" w:rsidRDefault="004811E8" w:rsidP="004811E8">
      <w:pPr>
        <w:spacing w:after="0" w:line="240" w:lineRule="auto"/>
        <w:textAlignment w:val="top"/>
        <w:rPr>
          <w:rFonts w:eastAsia="Times New Roman" w:cs="Times New Roman"/>
          <w:color w:val="000000"/>
          <w:sz w:val="24"/>
          <w:szCs w:val="24"/>
          <w:lang w:eastAsia="pt-BR"/>
        </w:rPr>
      </w:pPr>
    </w:p>
    <w:p w:rsidR="00F41B9F" w:rsidRDefault="00F41B9F" w:rsidP="001448FB">
      <w:pPr>
        <w:shd w:val="clear" w:color="auto" w:fill="FFFFFF"/>
        <w:spacing w:after="0" w:line="240" w:lineRule="auto"/>
        <w:rPr>
          <w:rFonts w:eastAsia="Times New Roman" w:cs="Times New Roman"/>
          <w:color w:val="000000"/>
          <w:sz w:val="24"/>
          <w:szCs w:val="24"/>
          <w:lang w:eastAsia="pt-BR"/>
        </w:rPr>
      </w:pPr>
    </w:p>
    <w:p w:rsidR="007F588A" w:rsidRDefault="00474201" w:rsidP="007F588A">
      <w:pPr>
        <w:textAlignment w:val="top"/>
        <w:rPr>
          <w:rFonts w:eastAsia="Times New Roman" w:cs="Arial"/>
          <w:b/>
          <w:bCs/>
          <w:color w:val="222222"/>
          <w:sz w:val="24"/>
          <w:szCs w:val="24"/>
          <w:lang w:eastAsia="pt-BR"/>
        </w:rPr>
      </w:pPr>
      <w:r>
        <w:rPr>
          <w:rFonts w:eastAsia="Times New Roman" w:cs="Arial"/>
          <w:b/>
          <w:bCs/>
          <w:color w:val="222222"/>
          <w:sz w:val="24"/>
          <w:szCs w:val="24"/>
          <w:lang w:eastAsia="pt-BR"/>
        </w:rPr>
        <w:t>POLICLORETO DE VINILA</w:t>
      </w:r>
      <w:r w:rsidR="00F41B9F" w:rsidRPr="008E01E5">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3904.10.10</w:t>
      </w:r>
      <w:r w:rsidR="00F41B9F" w:rsidRPr="00A1746A">
        <w:rPr>
          <w:rFonts w:eastAsia="Times New Roman" w:cs="Arial"/>
          <w:b/>
          <w:bCs/>
          <w:color w:val="222222"/>
          <w:sz w:val="24"/>
          <w:szCs w:val="24"/>
          <w:lang w:eastAsia="pt-BR"/>
        </w:rPr>
        <w:t>)</w:t>
      </w:r>
      <w:r w:rsidR="00F41B9F" w:rsidRPr="008E01E5">
        <w:rPr>
          <w:rFonts w:eastAsia="Times New Roman" w:cs="Arial"/>
          <w:b/>
          <w:bCs/>
          <w:color w:val="222222"/>
          <w:sz w:val="24"/>
          <w:szCs w:val="24"/>
          <w:lang w:eastAsia="pt-BR"/>
        </w:rPr>
        <w:t> </w:t>
      </w:r>
      <w:bookmarkStart w:id="0" w:name="_GoBack"/>
      <w:bookmarkEnd w:id="0"/>
    </w:p>
    <w:p w:rsidR="004811E8" w:rsidRDefault="004811E8" w:rsidP="001448FB">
      <w:pPr>
        <w:shd w:val="clear" w:color="auto" w:fill="FFFFFF"/>
        <w:spacing w:after="0" w:line="240" w:lineRule="auto"/>
        <w:rPr>
          <w:rFonts w:eastAsia="Times New Roman" w:cs="Arial"/>
          <w:b/>
          <w:bCs/>
          <w:color w:val="222222"/>
          <w:sz w:val="24"/>
          <w:szCs w:val="24"/>
          <w:lang w:eastAsia="pt-BR"/>
        </w:rPr>
      </w:pPr>
    </w:p>
    <w:p w:rsidR="00C62CC7" w:rsidRDefault="00C62CC7" w:rsidP="003E5B89">
      <w:pPr>
        <w:shd w:val="clear" w:color="auto" w:fill="FFFFFF"/>
        <w:spacing w:after="0" w:line="240" w:lineRule="auto"/>
        <w:jc w:val="center"/>
        <w:rPr>
          <w:b/>
          <w:sz w:val="48"/>
          <w:szCs w:val="48"/>
        </w:rPr>
      </w:pPr>
    </w:p>
    <w:p w:rsidR="00C62CC7" w:rsidRDefault="00C62CC7" w:rsidP="003E5B89">
      <w:pPr>
        <w:shd w:val="clear" w:color="auto" w:fill="FFFFFF"/>
        <w:spacing w:after="0" w:line="240" w:lineRule="auto"/>
        <w:jc w:val="center"/>
        <w:rPr>
          <w:b/>
          <w:sz w:val="48"/>
          <w:szCs w:val="48"/>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4D6BB6" w:rsidRDefault="004D6BB6" w:rsidP="003E5B89">
      <w:pPr>
        <w:shd w:val="clear" w:color="auto" w:fill="FFFFFF"/>
        <w:spacing w:after="0" w:line="240" w:lineRule="auto"/>
        <w:jc w:val="center"/>
        <w:rPr>
          <w:b/>
          <w:sz w:val="48"/>
          <w:szCs w:val="48"/>
        </w:rPr>
      </w:pPr>
    </w:p>
    <w:p w:rsidR="00CF5B74" w:rsidRDefault="00CF5B74" w:rsidP="00CF5B74">
      <w:pPr>
        <w:shd w:val="clear" w:color="auto" w:fill="FFFFFF"/>
        <w:spacing w:after="240"/>
        <w:jc w:val="center"/>
        <w:textAlignment w:val="top"/>
        <w:rPr>
          <w:rFonts w:ascii="Trebuchet MS" w:hAnsi="Trebuchet MS"/>
          <w:color w:val="000000"/>
          <w:sz w:val="18"/>
          <w:szCs w:val="18"/>
        </w:rPr>
      </w:pPr>
      <w:r>
        <w:rPr>
          <w:rFonts w:ascii="Trebuchet MS" w:hAnsi="Trebuchet MS"/>
          <w:color w:val="000000"/>
          <w:sz w:val="18"/>
          <w:szCs w:val="18"/>
        </w:rPr>
        <w:t>RESOLUÇÃO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84, DE 28 DE SETEMBRO DE 2016 (DOU 28/9/2016)</w:t>
      </w:r>
      <w:r>
        <w:rPr>
          <w:rFonts w:ascii="Trebuchet MS" w:hAnsi="Trebuchet MS"/>
          <w:color w:val="000000"/>
          <w:sz w:val="18"/>
          <w:szCs w:val="18"/>
        </w:rPr>
        <w:br/>
      </w:r>
    </w:p>
    <w:p w:rsidR="00CF5B74" w:rsidRDefault="00CF5B74" w:rsidP="00CF5B74">
      <w:pPr>
        <w:shd w:val="clear" w:color="auto" w:fill="FFFFFF"/>
        <w:spacing w:after="0"/>
        <w:textAlignment w:val="top"/>
        <w:rPr>
          <w:rFonts w:ascii="Trebuchet MS" w:hAnsi="Trebuchet MS"/>
          <w:color w:val="000000"/>
          <w:sz w:val="18"/>
          <w:szCs w:val="18"/>
        </w:rPr>
      </w:pPr>
      <w:r>
        <w:rPr>
          <w:rFonts w:ascii="Trebuchet MS" w:hAnsi="Trebuchet MS"/>
          <w:color w:val="000000"/>
          <w:sz w:val="18"/>
          <w:szCs w:val="18"/>
        </w:rPr>
        <w:t>Dá provimento ao pedido de reconsideração apresentado em face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51, de 23 de junho de 2016, e altera o direito</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antidumping</w:t>
      </w:r>
      <w:r>
        <w:rPr>
          <w:rStyle w:val="apple-converted-space"/>
          <w:rFonts w:ascii="Trebuchet MS" w:hAnsi="Trebuchet MS"/>
          <w:color w:val="000000"/>
          <w:sz w:val="18"/>
          <w:szCs w:val="18"/>
        </w:rPr>
        <w:t> </w:t>
      </w:r>
      <w:r>
        <w:rPr>
          <w:rFonts w:ascii="Trebuchet MS" w:hAnsi="Trebuchet MS"/>
          <w:color w:val="000000"/>
          <w:sz w:val="18"/>
          <w:szCs w:val="18"/>
        </w:rPr>
        <w:t>às empresas mencionadas na referida resolução.</w:t>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no uso da atribuição que lhe confere o inciso II do § 4</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4.732, de 10 de junho de 2003, e com fundamento no inciso XV do art. 2</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mesmo diploma legal,</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CONSIDERANDO o contido na Nota Técnica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46/2016/CGAS/DECOM/SECEX do Departamento de Defesa Comercial da Secretaria de Comércio Exterior do Ministério da Indústria, Comércio Exterior e Serviços,</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proofErr w:type="gramStart"/>
      <w:r>
        <w:rPr>
          <w:rStyle w:val="Forte"/>
          <w:rFonts w:ascii="Trebuchet MS" w:hAnsi="Trebuchet MS"/>
          <w:color w:val="000000"/>
          <w:sz w:val="18"/>
          <w:szCs w:val="18"/>
          <w:bdr w:val="none" w:sz="0" w:space="0" w:color="auto" w:frame="1"/>
        </w:rPr>
        <w:t>resolve</w:t>
      </w:r>
      <w:proofErr w:type="gramEnd"/>
      <w:r>
        <w:rPr>
          <w:rStyle w:val="Forte"/>
          <w:rFonts w:ascii="Trebuchet MS" w:hAnsi="Trebuchet MS"/>
          <w:color w:val="000000"/>
          <w:sz w:val="18"/>
          <w:szCs w:val="18"/>
          <w:bdr w:val="none" w:sz="0" w:space="0" w:color="auto" w:frame="1"/>
        </w:rPr>
        <w:t>,</w:t>
      </w:r>
      <w:r>
        <w:rPr>
          <w:rStyle w:val="apple-converted-space"/>
          <w:rFonts w:ascii="Trebuchet MS" w:hAnsi="Trebuchet MS"/>
          <w:b/>
          <w:bCs/>
          <w:color w:val="000000"/>
          <w:sz w:val="18"/>
          <w:szCs w:val="18"/>
          <w:bdr w:val="none" w:sz="0" w:space="0" w:color="auto" w:frame="1"/>
        </w:rPr>
        <w:t> </w:t>
      </w:r>
      <w:r>
        <w:rPr>
          <w:rStyle w:val="Forte"/>
          <w:rFonts w:ascii="Trebuchet MS" w:hAnsi="Trebuchet MS"/>
          <w:color w:val="000000"/>
          <w:sz w:val="18"/>
          <w:szCs w:val="18"/>
          <w:bdr w:val="none" w:sz="0" w:space="0" w:color="auto" w:frame="1"/>
        </w:rPr>
        <w:t xml:space="preserve">ad </w:t>
      </w:r>
      <w:proofErr w:type="spellStart"/>
      <w:r>
        <w:rPr>
          <w:rStyle w:val="Forte"/>
          <w:rFonts w:ascii="Trebuchet MS" w:hAnsi="Trebuchet MS"/>
          <w:color w:val="000000"/>
          <w:sz w:val="18"/>
          <w:szCs w:val="18"/>
          <w:bdr w:val="none" w:sz="0" w:space="0" w:color="auto" w:frame="1"/>
        </w:rPr>
        <w:t>referendum</w:t>
      </w:r>
      <w:r>
        <w:rPr>
          <w:rFonts w:ascii="Trebuchet MS" w:hAnsi="Trebuchet MS"/>
          <w:color w:val="000000"/>
          <w:sz w:val="18"/>
          <w:szCs w:val="18"/>
        </w:rPr>
        <w:t>do</w:t>
      </w:r>
      <w:proofErr w:type="spellEnd"/>
      <w:r>
        <w:rPr>
          <w:rFonts w:ascii="Trebuchet MS" w:hAnsi="Trebuchet MS"/>
          <w:color w:val="000000"/>
          <w:sz w:val="18"/>
          <w:szCs w:val="18"/>
        </w:rPr>
        <w:t xml:space="preserve"> Conselho:</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Art. 1</w:t>
      </w:r>
      <w:proofErr w:type="gramStart"/>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 Conhecer</w:t>
      </w:r>
      <w:proofErr w:type="gramEnd"/>
      <w:r>
        <w:rPr>
          <w:rFonts w:ascii="Trebuchet MS" w:hAnsi="Trebuchet MS"/>
          <w:color w:val="000000"/>
          <w:sz w:val="18"/>
          <w:szCs w:val="18"/>
        </w:rPr>
        <w:t xml:space="preserve"> e dar provimento ao pedido de reconsideração apresentado pela empresa </w:t>
      </w:r>
      <w:proofErr w:type="spellStart"/>
      <w:r>
        <w:rPr>
          <w:rFonts w:ascii="Trebuchet MS" w:hAnsi="Trebuchet MS"/>
          <w:color w:val="000000"/>
          <w:sz w:val="18"/>
          <w:szCs w:val="18"/>
        </w:rPr>
        <w:t>Zheijiang</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Hailide</w:t>
      </w:r>
      <w:proofErr w:type="spellEnd"/>
      <w:r>
        <w:rPr>
          <w:rFonts w:ascii="Trebuchet MS" w:hAnsi="Trebuchet MS"/>
          <w:color w:val="000000"/>
          <w:sz w:val="18"/>
          <w:szCs w:val="18"/>
        </w:rPr>
        <w:t xml:space="preserve"> New Material </w:t>
      </w:r>
      <w:proofErr w:type="spellStart"/>
      <w:r>
        <w:rPr>
          <w:rFonts w:ascii="Trebuchet MS" w:hAnsi="Trebuchet MS"/>
          <w:color w:val="000000"/>
          <w:sz w:val="18"/>
          <w:szCs w:val="18"/>
        </w:rPr>
        <w:t>Co</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Ltd</w:t>
      </w:r>
      <w:proofErr w:type="spellEnd"/>
      <w:r>
        <w:rPr>
          <w:rFonts w:ascii="Trebuchet MS" w:hAnsi="Trebuchet MS"/>
          <w:color w:val="000000"/>
          <w:sz w:val="18"/>
          <w:szCs w:val="18"/>
        </w:rPr>
        <w:t>., em face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51, de 23 de junho de 2016, publicada no Diário Oficial da União em 24 de junho de 2016.</w:t>
      </w:r>
    </w:p>
    <w:p w:rsidR="00CF5B74" w:rsidRDefault="00CF5B74" w:rsidP="00CF5B74">
      <w:pPr>
        <w:shd w:val="clear" w:color="auto" w:fill="FFFFFF"/>
        <w:jc w:val="left"/>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Art. 2</w:t>
      </w:r>
      <w:proofErr w:type="gramStart"/>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 Alterar</w:t>
      </w:r>
      <w:proofErr w:type="gramEnd"/>
      <w:r>
        <w:rPr>
          <w:rFonts w:ascii="Trebuchet MS" w:hAnsi="Trebuchet MS"/>
          <w:color w:val="000000"/>
          <w:sz w:val="18"/>
          <w:szCs w:val="18"/>
        </w:rPr>
        <w:t xml:space="preserve"> o direito antidumping aplicado aos produtores/exportadores chineses.</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Art. 3</w:t>
      </w:r>
      <w:proofErr w:type="gramStart"/>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Tendo</w:t>
      </w:r>
      <w:proofErr w:type="gramEnd"/>
      <w:r>
        <w:rPr>
          <w:rFonts w:ascii="Trebuchet MS" w:hAnsi="Trebuchet MS"/>
          <w:color w:val="000000"/>
          <w:sz w:val="18"/>
          <w:szCs w:val="18"/>
        </w:rPr>
        <w:t xml:space="preserve"> em vista o disposto nos artigos 1</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e 2</w:t>
      </w:r>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o art. 1</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da Resolução CAMEX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51, de 2016, passa a vigorar com a seguinte redação:</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tbl>
      <w:tblPr>
        <w:tblW w:w="10785" w:type="dxa"/>
        <w:tblCellMar>
          <w:left w:w="0" w:type="dxa"/>
          <w:right w:w="0" w:type="dxa"/>
        </w:tblCellMar>
        <w:tblLook w:val="04A0" w:firstRow="1" w:lastRow="0" w:firstColumn="1" w:lastColumn="0" w:noHBand="0" w:noVBand="1"/>
      </w:tblPr>
      <w:tblGrid>
        <w:gridCol w:w="2311"/>
        <w:gridCol w:w="6824"/>
        <w:gridCol w:w="1650"/>
      </w:tblGrid>
      <w:tr w:rsidR="00CF5B74" w:rsidTr="00CF5B74">
        <w:tc>
          <w:tcPr>
            <w:tcW w:w="10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Origem</w:t>
            </w: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Produtor/Exportador</w:t>
            </w:r>
          </w:p>
        </w:tc>
        <w:tc>
          <w:tcPr>
            <w:tcW w:w="7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Direito Antidumping Definitivo (US$/kg)</w:t>
            </w:r>
          </w:p>
        </w:tc>
      </w:tr>
      <w:tr w:rsidR="00CF5B74" w:rsidTr="00CF5B74">
        <w:tc>
          <w:tcPr>
            <w:tcW w:w="1050" w:type="pct"/>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Coreia do Sul</w:t>
            </w: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Hanwha</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Polydreamer</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0,93</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Starflex</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0,29</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3M </w:t>
            </w:r>
            <w:proofErr w:type="spellStart"/>
            <w:r>
              <w:rPr>
                <w:rFonts w:ascii="Trebuchet MS" w:hAnsi="Trebuchet MS"/>
                <w:color w:val="0D2731"/>
                <w:sz w:val="18"/>
                <w:szCs w:val="18"/>
              </w:rPr>
              <w:t>Korea</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0,32</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Ilshin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Tarpaulin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Wonpoong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Cheong</w:t>
            </w:r>
            <w:proofErr w:type="spellEnd"/>
            <w:r>
              <w:rPr>
                <w:rFonts w:ascii="Trebuchet MS" w:hAnsi="Trebuchet MS"/>
                <w:color w:val="0D2731"/>
                <w:sz w:val="18"/>
                <w:szCs w:val="18"/>
              </w:rPr>
              <w:t xml:space="preserve">-Ju </w:t>
            </w:r>
            <w:proofErr w:type="spellStart"/>
            <w:r>
              <w:rPr>
                <w:rFonts w:ascii="Trebuchet MS" w:hAnsi="Trebuchet MS"/>
                <w:color w:val="0D2731"/>
                <w:sz w:val="18"/>
                <w:szCs w:val="18"/>
              </w:rPr>
              <w:t>Factory</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Wonpoong</w:t>
            </w:r>
            <w:proofErr w:type="spellEnd"/>
            <w:r>
              <w:rPr>
                <w:rFonts w:ascii="Trebuchet MS" w:hAnsi="Trebuchet MS"/>
                <w:color w:val="0D2731"/>
                <w:sz w:val="18"/>
                <w:szCs w:val="18"/>
              </w:rPr>
              <w:t xml:space="preserve"> Corporation.</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Demais</w:t>
            </w:r>
          </w:p>
        </w:tc>
        <w:tc>
          <w:tcPr>
            <w:tcW w:w="7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0,93</w:t>
            </w:r>
          </w:p>
        </w:tc>
      </w:tr>
      <w:tr w:rsidR="00CF5B74" w:rsidTr="00CF5B74">
        <w:tc>
          <w:tcPr>
            <w:tcW w:w="1050" w:type="pct"/>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China</w:t>
            </w: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Fuxing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Compound</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2,11</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Nar</w:t>
            </w:r>
            <w:proofErr w:type="spellEnd"/>
            <w:r>
              <w:rPr>
                <w:rFonts w:ascii="Trebuchet MS" w:hAnsi="Trebuchet MS"/>
                <w:color w:val="0D2731"/>
                <w:sz w:val="18"/>
                <w:szCs w:val="18"/>
              </w:rPr>
              <w:t xml:space="preserve"> Industrial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1,95</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Ganglong</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1,97</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Hailide</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1,80</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Casio </w:t>
            </w:r>
            <w:proofErr w:type="spellStart"/>
            <w:r>
              <w:rPr>
                <w:rFonts w:ascii="Trebuchet MS" w:hAnsi="Trebuchet MS"/>
                <w:color w:val="0D2731"/>
                <w:sz w:val="18"/>
                <w:szCs w:val="18"/>
              </w:rPr>
              <w:t>Electronics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Shenzhen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750" w:type="pct"/>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1,91</w:t>
            </w: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Ellevision</w:t>
            </w:r>
            <w:proofErr w:type="spellEnd"/>
            <w:r>
              <w:rPr>
                <w:rFonts w:ascii="Trebuchet MS" w:hAnsi="Trebuchet MS"/>
                <w:color w:val="0D2731"/>
                <w:sz w:val="18"/>
                <w:szCs w:val="18"/>
              </w:rPr>
              <w:t xml:space="preserve"> Inc.</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Fujian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Sijia</w:t>
            </w:r>
            <w:proofErr w:type="spellEnd"/>
            <w:r>
              <w:rPr>
                <w:rFonts w:ascii="Trebuchet MS" w:hAnsi="Trebuchet MS"/>
                <w:color w:val="0D2731"/>
                <w:sz w:val="18"/>
                <w:szCs w:val="18"/>
              </w:rPr>
              <w:t xml:space="preserve"> Industrial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Goldensign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International</w:t>
            </w:r>
            <w:proofErr w:type="spellEnd"/>
            <w:r>
              <w:rPr>
                <w:rFonts w:ascii="Trebuchet MS" w:hAnsi="Trebuchet MS"/>
                <w:color w:val="0D2731"/>
                <w:sz w:val="18"/>
                <w:szCs w:val="18"/>
              </w:rPr>
              <w:t xml:space="preserve"> Technology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Bloom </w:t>
            </w:r>
            <w:proofErr w:type="spellStart"/>
            <w:r>
              <w:rPr>
                <w:rFonts w:ascii="Trebuchet MS" w:hAnsi="Trebuchet MS"/>
                <w:color w:val="0D2731"/>
                <w:sz w:val="18"/>
                <w:szCs w:val="18"/>
              </w:rPr>
              <w:t>Advance</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Tarpaulin</w:t>
            </w:r>
            <w:proofErr w:type="spellEnd"/>
            <w:r>
              <w:rPr>
                <w:rFonts w:ascii="Trebuchet MS" w:hAnsi="Trebuchet MS"/>
                <w:color w:val="0D2731"/>
                <w:sz w:val="18"/>
                <w:szCs w:val="18"/>
              </w:rPr>
              <w:t xml:space="preserve">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Flex Trading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Hongyuan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Technical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Textiles</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Jinda</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Coating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Haining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Ruifeng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Hangzhou</w:t>
            </w:r>
            <w:proofErr w:type="spellEnd"/>
            <w:r>
              <w:rPr>
                <w:rFonts w:ascii="Trebuchet MS" w:hAnsi="Trebuchet MS"/>
                <w:color w:val="0D2731"/>
                <w:sz w:val="18"/>
                <w:szCs w:val="18"/>
              </w:rPr>
              <w:t xml:space="preserve"> Daily </w:t>
            </w:r>
            <w:proofErr w:type="spellStart"/>
            <w:r>
              <w:rPr>
                <w:rFonts w:ascii="Trebuchet MS" w:hAnsi="Trebuchet MS"/>
                <w:color w:val="0D2731"/>
                <w:sz w:val="18"/>
                <w:szCs w:val="18"/>
              </w:rPr>
              <w:t>Houseware</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Products</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Hangzhou</w:t>
            </w:r>
            <w:proofErr w:type="spellEnd"/>
            <w:r>
              <w:rPr>
                <w:rFonts w:ascii="Trebuchet MS" w:hAnsi="Trebuchet MS"/>
                <w:color w:val="0D2731"/>
                <w:sz w:val="18"/>
                <w:szCs w:val="18"/>
              </w:rPr>
              <w:t xml:space="preserve"> H.D.L.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Hangzhou</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Hongze</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Hangzhou</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Soyang</w:t>
            </w:r>
            <w:proofErr w:type="spellEnd"/>
            <w:r>
              <w:rPr>
                <w:rFonts w:ascii="Trebuchet MS" w:hAnsi="Trebuchet MS"/>
                <w:color w:val="0D2731"/>
                <w:sz w:val="18"/>
                <w:szCs w:val="18"/>
              </w:rPr>
              <w:t xml:space="preserve"> Technologies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Haning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Huazhiyang</w:t>
            </w:r>
            <w:proofErr w:type="spellEnd"/>
            <w:r>
              <w:rPr>
                <w:rFonts w:ascii="Trebuchet MS" w:hAnsi="Trebuchet MS"/>
                <w:color w:val="0D2731"/>
                <w:sz w:val="18"/>
                <w:szCs w:val="18"/>
              </w:rPr>
              <w:t xml:space="preserve"> Home </w:t>
            </w:r>
            <w:proofErr w:type="spellStart"/>
            <w:r>
              <w:rPr>
                <w:rFonts w:ascii="Trebuchet MS" w:hAnsi="Trebuchet MS"/>
                <w:color w:val="0D2731"/>
                <w:sz w:val="18"/>
                <w:szCs w:val="18"/>
              </w:rPr>
              <w:t>Textile</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Hdl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Corp</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Hangzhou</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Haidelong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And</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Hebei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Runlin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International</w:t>
            </w:r>
            <w:proofErr w:type="spellEnd"/>
            <w:r>
              <w:rPr>
                <w:rFonts w:ascii="Trebuchet MS" w:hAnsi="Trebuchet MS"/>
                <w:color w:val="0D2731"/>
                <w:sz w:val="18"/>
                <w:szCs w:val="18"/>
              </w:rPr>
              <w:t xml:space="preserve"> Trading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Hebei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Yuxin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Industry</w:t>
            </w:r>
            <w:proofErr w:type="spellEnd"/>
            <w:r>
              <w:rPr>
                <w:rFonts w:ascii="Trebuchet MS" w:hAnsi="Trebuchet MS"/>
                <w:color w:val="0D2731"/>
                <w:sz w:val="18"/>
                <w:szCs w:val="18"/>
              </w:rPr>
              <w:t xml:space="preserve"> &amp; Trade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Heytex</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Technical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Textiles</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Zhangjiagang</w:t>
            </w:r>
            <w:proofErr w:type="spellEnd"/>
            <w:r>
              <w:rPr>
                <w:rFonts w:ascii="Trebuchet MS" w:hAnsi="Trebuchet MS"/>
                <w:color w:val="0D2731"/>
                <w:sz w:val="18"/>
                <w:szCs w:val="18"/>
              </w:rPr>
              <w:t>)</w:t>
            </w:r>
            <w:proofErr w:type="spellStart"/>
            <w:r>
              <w:rPr>
                <w:rFonts w:ascii="Trebuchet MS" w:hAnsi="Trebuchet MS"/>
                <w:color w:val="0D2731"/>
                <w:sz w:val="18"/>
                <w:szCs w:val="18"/>
              </w:rPr>
              <w:t>Co</w:t>
            </w:r>
            <w:proofErr w:type="spellEnd"/>
            <w:r>
              <w:rPr>
                <w:rFonts w:ascii="Trebuchet MS" w:hAnsi="Trebuchet MS"/>
                <w:color w:val="0D2731"/>
                <w:sz w:val="18"/>
                <w:szCs w:val="18"/>
              </w:rPr>
              <w:t>.</w:t>
            </w:r>
            <w:proofErr w:type="gram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Hf</w:t>
            </w:r>
            <w:proofErr w:type="spellEnd"/>
            <w:r>
              <w:rPr>
                <w:rFonts w:ascii="Trebuchet MS" w:hAnsi="Trebuchet MS"/>
                <w:color w:val="0D2731"/>
                <w:sz w:val="18"/>
                <w:szCs w:val="18"/>
              </w:rPr>
              <w:t xml:space="preserve"> Industrial </w:t>
            </w:r>
            <w:proofErr w:type="spellStart"/>
            <w:r>
              <w:rPr>
                <w:rFonts w:ascii="Trebuchet MS" w:hAnsi="Trebuchet MS"/>
                <w:color w:val="0D2731"/>
                <w:sz w:val="18"/>
                <w:szCs w:val="18"/>
              </w:rPr>
              <w:t>Limited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Hua</w:t>
            </w:r>
            <w:proofErr w:type="spellEnd"/>
            <w:r>
              <w:rPr>
                <w:rFonts w:ascii="Trebuchet MS" w:hAnsi="Trebuchet MS"/>
                <w:color w:val="0D2731"/>
                <w:sz w:val="18"/>
                <w:szCs w:val="18"/>
              </w:rPr>
              <w:t xml:space="preserve"> De </w:t>
            </w:r>
            <w:proofErr w:type="spellStart"/>
            <w:r>
              <w:rPr>
                <w:rFonts w:ascii="Trebuchet MS" w:hAnsi="Trebuchet MS"/>
                <w:color w:val="0D2731"/>
                <w:sz w:val="18"/>
                <w:szCs w:val="18"/>
              </w:rPr>
              <w:t>Sock</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Industry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Ji </w:t>
            </w:r>
            <w:proofErr w:type="spellStart"/>
            <w:r>
              <w:rPr>
                <w:rFonts w:ascii="Trebuchet MS" w:hAnsi="Trebuchet MS"/>
                <w:color w:val="0D2731"/>
                <w:sz w:val="18"/>
                <w:szCs w:val="18"/>
              </w:rPr>
              <w:t>Angsu</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Dahai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Jiangyin</w:t>
            </w:r>
            <w:proofErr w:type="spellEnd"/>
            <w:r>
              <w:rPr>
                <w:rFonts w:ascii="Trebuchet MS" w:hAnsi="Trebuchet MS"/>
                <w:color w:val="0D2731"/>
                <w:sz w:val="18"/>
                <w:szCs w:val="18"/>
              </w:rPr>
              <w:t xml:space="preserve"> City </w:t>
            </w:r>
            <w:proofErr w:type="spellStart"/>
            <w:r>
              <w:rPr>
                <w:rFonts w:ascii="Trebuchet MS" w:hAnsi="Trebuchet MS"/>
                <w:color w:val="0D2731"/>
                <w:sz w:val="18"/>
                <w:szCs w:val="18"/>
              </w:rPr>
              <w:t>Jewei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Jiangyin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Nanwei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International</w:t>
            </w:r>
            <w:proofErr w:type="spellEnd"/>
            <w:r>
              <w:rPr>
                <w:rFonts w:ascii="Trebuchet MS" w:hAnsi="Trebuchet MS"/>
                <w:color w:val="0D2731"/>
                <w:sz w:val="18"/>
                <w:szCs w:val="18"/>
              </w:rPr>
              <w:t xml:space="preserve"> Trade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Kr Flex Industrial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Ningbo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Yinzhou</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Sicol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Sign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Materials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Ningbo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Yuanyuan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Oriency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Sign</w:t>
            </w:r>
            <w:proofErr w:type="spellEnd"/>
            <w:r>
              <w:rPr>
                <w:rFonts w:ascii="Trebuchet MS" w:hAnsi="Trebuchet MS"/>
                <w:color w:val="0D2731"/>
                <w:sz w:val="18"/>
                <w:szCs w:val="18"/>
              </w:rPr>
              <w:t xml:space="preserve"> Technology </w:t>
            </w:r>
            <w:proofErr w:type="spellStart"/>
            <w:r>
              <w:rPr>
                <w:rFonts w:ascii="Trebuchet MS" w:hAnsi="Trebuchet MS"/>
                <w:color w:val="0D2731"/>
                <w:sz w:val="18"/>
                <w:szCs w:val="18"/>
              </w:rPr>
              <w:t>Industry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Prime </w:t>
            </w:r>
            <w:proofErr w:type="spellStart"/>
            <w:r>
              <w:rPr>
                <w:rFonts w:ascii="Trebuchet MS" w:hAnsi="Trebuchet MS"/>
                <w:color w:val="0D2731"/>
                <w:sz w:val="18"/>
                <w:szCs w:val="18"/>
              </w:rPr>
              <w:t>Sign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International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Limited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Qianhong</w:t>
            </w:r>
            <w:proofErr w:type="spellEnd"/>
            <w:r>
              <w:rPr>
                <w:rFonts w:ascii="Trebuchet MS" w:hAnsi="Trebuchet MS"/>
                <w:color w:val="0D2731"/>
                <w:sz w:val="18"/>
                <w:szCs w:val="18"/>
              </w:rPr>
              <w:t xml:space="preserve"> Ad.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S&amp;D </w:t>
            </w:r>
            <w:proofErr w:type="spellStart"/>
            <w:r>
              <w:rPr>
                <w:rFonts w:ascii="Trebuchet MS" w:hAnsi="Trebuchet MS"/>
                <w:color w:val="0D2731"/>
                <w:sz w:val="18"/>
                <w:szCs w:val="18"/>
              </w:rPr>
              <w:t>Industry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Limited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Foreign</w:t>
            </w:r>
            <w:proofErr w:type="spellEnd"/>
            <w:r>
              <w:rPr>
                <w:rFonts w:ascii="Trebuchet MS" w:hAnsi="Trebuchet MS"/>
                <w:color w:val="0D2731"/>
                <w:sz w:val="18"/>
                <w:szCs w:val="18"/>
              </w:rPr>
              <w:t xml:space="preserve"> Trade </w:t>
            </w:r>
            <w:proofErr w:type="spellStart"/>
            <w:r>
              <w:rPr>
                <w:rFonts w:ascii="Trebuchet MS" w:hAnsi="Trebuchet MS"/>
                <w:color w:val="0D2731"/>
                <w:sz w:val="18"/>
                <w:szCs w:val="18"/>
              </w:rPr>
              <w:t>Enterprises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Pudong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Asianen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And</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Jahwa</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&amp;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Lanquan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Products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Textile</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Raw</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Materials</w:t>
            </w:r>
            <w:proofErr w:type="spellEnd"/>
            <w:r>
              <w:rPr>
                <w:rFonts w:ascii="Trebuchet MS" w:hAnsi="Trebuchet MS"/>
                <w:color w:val="0D2731"/>
                <w:sz w:val="18"/>
                <w:szCs w:val="18"/>
              </w:rPr>
              <w:t xml:space="preserve"> Corporation.</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Shanghai </w:t>
            </w:r>
            <w:proofErr w:type="spellStart"/>
            <w:r>
              <w:rPr>
                <w:rFonts w:ascii="Trebuchet MS" w:hAnsi="Trebuchet MS"/>
                <w:color w:val="0D2731"/>
                <w:sz w:val="18"/>
                <w:szCs w:val="18"/>
              </w:rPr>
              <w:t>Unisign</w:t>
            </w:r>
            <w:proofErr w:type="spellEnd"/>
            <w:r>
              <w:rPr>
                <w:rFonts w:ascii="Trebuchet MS" w:hAnsi="Trebuchet MS"/>
                <w:color w:val="0D2731"/>
                <w:sz w:val="18"/>
                <w:szCs w:val="18"/>
              </w:rPr>
              <w:t xml:space="preserve"> Industrial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Shaoxing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Zhanzhan</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And</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Singstar</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International</w:t>
            </w:r>
            <w:proofErr w:type="spellEnd"/>
            <w:r>
              <w:rPr>
                <w:rFonts w:ascii="Trebuchet MS" w:hAnsi="Trebuchet MS"/>
                <w:color w:val="0D2731"/>
                <w:sz w:val="18"/>
                <w:szCs w:val="18"/>
              </w:rPr>
              <w:t xml:space="preserve"> Industrial </w:t>
            </w:r>
            <w:proofErr w:type="spellStart"/>
            <w:r>
              <w:rPr>
                <w:rFonts w:ascii="Trebuchet MS" w:hAnsi="Trebuchet MS"/>
                <w:color w:val="0D2731"/>
                <w:sz w:val="18"/>
                <w:szCs w:val="18"/>
              </w:rPr>
              <w:t>Limited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Suntarget</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Tongxiang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Saier</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&amp;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Tongxiang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Zhenxing</w:t>
            </w:r>
            <w:proofErr w:type="spellEnd"/>
            <w:r>
              <w:rPr>
                <w:rFonts w:ascii="Trebuchet MS" w:hAnsi="Trebuchet MS"/>
                <w:color w:val="0D2731"/>
                <w:sz w:val="18"/>
                <w:szCs w:val="18"/>
              </w:rPr>
              <w:t xml:space="preserve"> Industrial </w:t>
            </w:r>
            <w:proofErr w:type="spellStart"/>
            <w:r>
              <w:rPr>
                <w:rFonts w:ascii="Trebuchet MS" w:hAnsi="Trebuchet MS"/>
                <w:color w:val="0D2731"/>
                <w:sz w:val="18"/>
                <w:szCs w:val="18"/>
              </w:rPr>
              <w:t>Fabric</w:t>
            </w:r>
            <w:proofErr w:type="spellEnd"/>
            <w:r>
              <w:rPr>
                <w:rFonts w:ascii="Trebuchet MS" w:hAnsi="Trebuchet MS"/>
                <w:color w:val="0D2731"/>
                <w:sz w:val="18"/>
                <w:szCs w:val="18"/>
              </w:rPr>
              <w:t xml:space="preserve"> Manufacturing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Wisdom</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Hero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Industry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Limited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Wonpoong</w:t>
            </w:r>
            <w:proofErr w:type="spellEnd"/>
            <w:r>
              <w:rPr>
                <w:rFonts w:ascii="Trebuchet MS" w:hAnsi="Trebuchet MS"/>
                <w:color w:val="0D2731"/>
                <w:sz w:val="18"/>
                <w:szCs w:val="18"/>
              </w:rPr>
              <w:t xml:space="preserve"> China (</w:t>
            </w: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Specialty</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Textiles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Botai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Hongshida</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Huasheng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Warpknitting</w:t>
            </w:r>
            <w:proofErr w:type="spellEnd"/>
            <w:r>
              <w:rPr>
                <w:rFonts w:ascii="Trebuchet MS" w:hAnsi="Trebuchet MS"/>
                <w:color w:val="0D2731"/>
                <w:sz w:val="18"/>
                <w:szCs w:val="18"/>
              </w:rPr>
              <w:t xml:space="preserve"> New </w:t>
            </w:r>
            <w:proofErr w:type="spellStart"/>
            <w:r>
              <w:rPr>
                <w:rFonts w:ascii="Trebuchet MS" w:hAnsi="Trebuchet MS"/>
                <w:color w:val="0D2731"/>
                <w:sz w:val="18"/>
                <w:szCs w:val="18"/>
              </w:rPr>
              <w:t>Materials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Huifeng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&amp;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Huifeng</w:t>
            </w:r>
            <w:proofErr w:type="spellEnd"/>
            <w:r>
              <w:rPr>
                <w:rFonts w:ascii="Trebuchet MS" w:hAnsi="Trebuchet MS"/>
                <w:color w:val="0D2731"/>
                <w:sz w:val="18"/>
                <w:szCs w:val="18"/>
              </w:rPr>
              <w:t xml:space="preserve"> New </w:t>
            </w:r>
            <w:proofErr w:type="spellStart"/>
            <w:r>
              <w:rPr>
                <w:rFonts w:ascii="Trebuchet MS" w:hAnsi="Trebuchet MS"/>
                <w:color w:val="0D2731"/>
                <w:sz w:val="18"/>
                <w:szCs w:val="18"/>
              </w:rPr>
              <w:t>Materials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Jinda</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Liyuan</w:t>
            </w:r>
            <w:proofErr w:type="spellEnd"/>
            <w:r>
              <w:rPr>
                <w:rFonts w:ascii="Trebuchet MS" w:hAnsi="Trebuchet MS"/>
                <w:color w:val="0D2731"/>
                <w:sz w:val="18"/>
                <w:szCs w:val="18"/>
              </w:rPr>
              <w:t xml:space="preserve"> Digital </w:t>
            </w:r>
            <w:proofErr w:type="spellStart"/>
            <w:r>
              <w:rPr>
                <w:rFonts w:ascii="Trebuchet MS" w:hAnsi="Trebuchet MS"/>
                <w:color w:val="0D2731"/>
                <w:sz w:val="18"/>
                <w:szCs w:val="18"/>
              </w:rPr>
              <w:t>Technological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Materials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Minglong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Import</w:t>
            </w:r>
            <w:proofErr w:type="spellEnd"/>
            <w:r>
              <w:rPr>
                <w:rFonts w:ascii="Trebuchet MS" w:hAnsi="Trebuchet MS"/>
                <w:color w:val="0D2731"/>
                <w:sz w:val="18"/>
                <w:szCs w:val="18"/>
              </w:rPr>
              <w:t xml:space="preserve"> &amp; </w:t>
            </w:r>
            <w:proofErr w:type="spellStart"/>
            <w:r>
              <w:rPr>
                <w:rFonts w:ascii="Trebuchet MS" w:hAnsi="Trebuchet MS"/>
                <w:color w:val="0D2731"/>
                <w:sz w:val="18"/>
                <w:szCs w:val="18"/>
              </w:rPr>
              <w:t>Export</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Minglong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Cement</w:t>
            </w:r>
            <w:proofErr w:type="spellEnd"/>
            <w:r>
              <w:rPr>
                <w:rFonts w:ascii="Trebuchet MS" w:hAnsi="Trebuchet MS"/>
                <w:color w:val="0D2731"/>
                <w:sz w:val="18"/>
                <w:szCs w:val="18"/>
              </w:rPr>
              <w:t xml:space="preserve"> </w:t>
            </w:r>
            <w:proofErr w:type="spellStart"/>
            <w:proofErr w:type="gramStart"/>
            <w:r>
              <w:rPr>
                <w:rFonts w:ascii="Trebuchet MS" w:hAnsi="Trebuchet MS"/>
                <w:color w:val="0D2731"/>
                <w:sz w:val="18"/>
                <w:szCs w:val="18"/>
              </w:rPr>
              <w:t>Co</w:t>
            </w:r>
            <w:proofErr w:type="spellEnd"/>
            <w:r>
              <w:rPr>
                <w:rFonts w:ascii="Trebuchet MS" w:hAnsi="Trebuchet MS"/>
                <w:color w:val="0D2731"/>
                <w:sz w:val="18"/>
                <w:szCs w:val="18"/>
              </w:rPr>
              <w:t>.,</w:t>
            </w:r>
            <w:proofErr w:type="spellStart"/>
            <w:r>
              <w:rPr>
                <w:rFonts w:ascii="Trebuchet MS" w:hAnsi="Trebuchet MS"/>
                <w:color w:val="0D2731"/>
                <w:sz w:val="18"/>
                <w:szCs w:val="18"/>
              </w:rPr>
              <w:t>Ltd</w:t>
            </w:r>
            <w:proofErr w:type="spellEnd"/>
            <w:r>
              <w:rPr>
                <w:rFonts w:ascii="Trebuchet MS" w:hAnsi="Trebuchet MS"/>
                <w:color w:val="0D2731"/>
                <w:sz w:val="18"/>
                <w:szCs w:val="18"/>
              </w:rPr>
              <w:t>.</w:t>
            </w:r>
            <w:proofErr w:type="gramEnd"/>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Msd</w:t>
            </w:r>
            <w:proofErr w:type="spellEnd"/>
            <w:r>
              <w:rPr>
                <w:rFonts w:ascii="Trebuchet MS" w:hAnsi="Trebuchet MS"/>
                <w:color w:val="0D2731"/>
                <w:sz w:val="18"/>
                <w:szCs w:val="18"/>
              </w:rPr>
              <w:t xml:space="preserve"> New Material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Msd</w:t>
            </w:r>
            <w:proofErr w:type="spellEnd"/>
            <w:r>
              <w:rPr>
                <w:rFonts w:ascii="Trebuchet MS" w:hAnsi="Trebuchet MS"/>
                <w:color w:val="0D2731"/>
                <w:sz w:val="18"/>
                <w:szCs w:val="18"/>
              </w:rPr>
              <w:t xml:space="preserve"> Trade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S&amp;F </w:t>
            </w:r>
            <w:proofErr w:type="spellStart"/>
            <w:r>
              <w:rPr>
                <w:rFonts w:ascii="Trebuchet MS" w:hAnsi="Trebuchet MS"/>
                <w:color w:val="0D2731"/>
                <w:sz w:val="18"/>
                <w:szCs w:val="18"/>
              </w:rPr>
              <w:t>Foreign</w:t>
            </w:r>
            <w:proofErr w:type="spellEnd"/>
            <w:r>
              <w:rPr>
                <w:rFonts w:ascii="Trebuchet MS" w:hAnsi="Trebuchet MS"/>
                <w:color w:val="0D2731"/>
                <w:sz w:val="18"/>
                <w:szCs w:val="18"/>
              </w:rPr>
              <w:t xml:space="preserve"> Trade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Tianxing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Technical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Textiles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Zhejiang</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Yuli</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Plastic</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Ltd</w:t>
            </w:r>
            <w:proofErr w:type="spellEnd"/>
            <w:r>
              <w:rPr>
                <w:rFonts w:ascii="Trebuchet MS" w:hAnsi="Trebuchet MS"/>
                <w:color w:val="0D2731"/>
                <w:sz w:val="18"/>
                <w:szCs w:val="18"/>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CF5B74" w:rsidRDefault="00CF5B74">
            <w:pPr>
              <w:rPr>
                <w:rFonts w:ascii="Trebuchet MS" w:hAnsi="Trebuchet MS"/>
                <w:color w:val="0D2731"/>
                <w:sz w:val="18"/>
                <w:szCs w:val="18"/>
              </w:rPr>
            </w:pPr>
          </w:p>
        </w:tc>
      </w:tr>
      <w:tr w:rsidR="00CF5B74" w:rsidTr="00CF5B74">
        <w:tc>
          <w:tcPr>
            <w:tcW w:w="0" w:type="auto"/>
            <w:vMerge/>
            <w:tcBorders>
              <w:top w:val="single" w:sz="6" w:space="0" w:color="6196A5"/>
              <w:left w:val="single" w:sz="6" w:space="0" w:color="6196A5"/>
              <w:bottom w:val="single" w:sz="6" w:space="0" w:color="6196A5"/>
              <w:right w:val="single" w:sz="6" w:space="0" w:color="6196A5"/>
            </w:tcBorders>
            <w:hideMark/>
          </w:tcPr>
          <w:p w:rsidR="00CF5B74" w:rsidRDefault="00CF5B74">
            <w:pPr>
              <w:rPr>
                <w:rFonts w:ascii="Trebuchet MS" w:hAnsi="Trebuchet MS"/>
                <w:color w:val="0D2731"/>
                <w:sz w:val="18"/>
                <w:szCs w:val="18"/>
              </w:rPr>
            </w:pPr>
          </w:p>
        </w:tc>
        <w:tc>
          <w:tcPr>
            <w:tcW w:w="31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CF5B74" w:rsidRDefault="00CF5B74">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Demais</w:t>
            </w:r>
          </w:p>
        </w:tc>
        <w:tc>
          <w:tcPr>
            <w:tcW w:w="750" w:type="pc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CF5B74" w:rsidRDefault="00CF5B74">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2,11</w:t>
            </w:r>
          </w:p>
        </w:tc>
      </w:tr>
    </w:tbl>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CF5B74" w:rsidRDefault="00CF5B74" w:rsidP="00CF5B74">
      <w:pPr>
        <w:shd w:val="clear" w:color="auto" w:fill="FFFFFF"/>
        <w:textAlignment w:val="top"/>
        <w:rPr>
          <w:rFonts w:ascii="Trebuchet MS" w:hAnsi="Trebuchet MS"/>
          <w:color w:val="000000"/>
          <w:sz w:val="18"/>
          <w:szCs w:val="18"/>
        </w:rPr>
      </w:pPr>
      <w:r>
        <w:rPr>
          <w:rFonts w:ascii="Trebuchet MS" w:hAnsi="Trebuchet MS"/>
          <w:color w:val="000000"/>
          <w:sz w:val="18"/>
          <w:szCs w:val="18"/>
        </w:rPr>
        <w:t>Art. 4</w:t>
      </w:r>
      <w:proofErr w:type="gramStart"/>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 Esta</w:t>
      </w:r>
      <w:proofErr w:type="gramEnd"/>
      <w:r>
        <w:rPr>
          <w:rFonts w:ascii="Trebuchet MS" w:hAnsi="Trebuchet MS"/>
          <w:color w:val="000000"/>
          <w:sz w:val="18"/>
          <w:szCs w:val="18"/>
        </w:rPr>
        <w:t xml:space="preserve"> Resolução entra em vigor na data de sua publicação.</w:t>
      </w:r>
    </w:p>
    <w:p w:rsidR="00CF5B74" w:rsidRDefault="00CF5B74" w:rsidP="00CF5B74">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JOSÉ SERRA</w:t>
      </w:r>
    </w:p>
    <w:p w:rsidR="00CF5B74" w:rsidRDefault="00CF5B74" w:rsidP="00CF5B74">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 xml:space="preserve">Presidente do Comitê Executivo de Gestão - </w:t>
      </w:r>
      <w:proofErr w:type="spellStart"/>
      <w:r>
        <w:rPr>
          <w:rFonts w:ascii="Trebuchet MS" w:hAnsi="Trebuchet MS"/>
          <w:color w:val="0D2731"/>
          <w:sz w:val="18"/>
          <w:szCs w:val="18"/>
        </w:rPr>
        <w:t>Gecex</w:t>
      </w:r>
      <w:proofErr w:type="spellEnd"/>
    </w:p>
    <w:p w:rsidR="00BA4284" w:rsidRDefault="00BA4284" w:rsidP="00CF5B74">
      <w:pPr>
        <w:pStyle w:val="NormalWeb"/>
        <w:shd w:val="clear" w:color="auto" w:fill="FFFFFF"/>
        <w:spacing w:before="0" w:beforeAutospacing="0" w:after="0" w:afterAutospacing="0"/>
        <w:jc w:val="center"/>
        <w:textAlignment w:val="top"/>
        <w:rPr>
          <w:rStyle w:val="Forte"/>
          <w:rFonts w:ascii="Trebuchet MS" w:hAnsi="Trebuchet MS"/>
          <w:color w:val="0D2731"/>
          <w:sz w:val="18"/>
          <w:szCs w:val="18"/>
          <w:bdr w:val="none" w:sz="0" w:space="0" w:color="auto" w:frame="1"/>
        </w:rPr>
      </w:pPr>
    </w:p>
    <w:p w:rsidR="00BA4284" w:rsidRDefault="00BA4284" w:rsidP="00CF5B74">
      <w:pPr>
        <w:pStyle w:val="NormalWeb"/>
        <w:shd w:val="clear" w:color="auto" w:fill="FFFFFF"/>
        <w:spacing w:before="0" w:beforeAutospacing="0" w:after="0" w:afterAutospacing="0"/>
        <w:jc w:val="center"/>
        <w:textAlignment w:val="top"/>
        <w:rPr>
          <w:rStyle w:val="Forte"/>
          <w:rFonts w:ascii="Trebuchet MS" w:hAnsi="Trebuchet MS"/>
          <w:color w:val="0D2731"/>
          <w:sz w:val="18"/>
          <w:szCs w:val="18"/>
          <w:bdr w:val="none" w:sz="0" w:space="0" w:color="auto" w:frame="1"/>
        </w:rPr>
      </w:pPr>
    </w:p>
    <w:p w:rsidR="00BA4284" w:rsidRDefault="00BA4284" w:rsidP="00CF5B74">
      <w:pPr>
        <w:pStyle w:val="NormalWeb"/>
        <w:shd w:val="clear" w:color="auto" w:fill="FFFFFF"/>
        <w:spacing w:before="0" w:beforeAutospacing="0" w:after="0" w:afterAutospacing="0"/>
        <w:jc w:val="center"/>
        <w:textAlignment w:val="top"/>
        <w:rPr>
          <w:rStyle w:val="Forte"/>
          <w:rFonts w:ascii="Trebuchet MS" w:hAnsi="Trebuchet MS"/>
          <w:color w:val="0D2731"/>
          <w:sz w:val="18"/>
          <w:szCs w:val="18"/>
          <w:bdr w:val="none" w:sz="0" w:space="0" w:color="auto" w:frame="1"/>
        </w:rPr>
      </w:pPr>
    </w:p>
    <w:p w:rsidR="00BA4284" w:rsidRDefault="00BA4284" w:rsidP="00CF5B74">
      <w:pPr>
        <w:pStyle w:val="NormalWeb"/>
        <w:shd w:val="clear" w:color="auto" w:fill="FFFFFF"/>
        <w:spacing w:before="0" w:beforeAutospacing="0" w:after="0" w:afterAutospacing="0"/>
        <w:jc w:val="center"/>
        <w:textAlignment w:val="top"/>
        <w:rPr>
          <w:rStyle w:val="Forte"/>
          <w:rFonts w:ascii="Trebuchet MS" w:hAnsi="Trebuchet MS"/>
          <w:color w:val="0D2731"/>
          <w:sz w:val="18"/>
          <w:szCs w:val="18"/>
          <w:bdr w:val="none" w:sz="0" w:space="0" w:color="auto" w:frame="1"/>
        </w:rPr>
      </w:pPr>
    </w:p>
    <w:p w:rsidR="00CF5B74" w:rsidRDefault="00CF5B74" w:rsidP="00CF5B74">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 </w:t>
      </w:r>
    </w:p>
    <w:p w:rsidR="00B16580" w:rsidRDefault="00B16580" w:rsidP="003E5B89">
      <w:pPr>
        <w:shd w:val="clear" w:color="auto" w:fill="FFFFFF"/>
        <w:spacing w:after="0" w:line="240" w:lineRule="auto"/>
        <w:jc w:val="center"/>
        <w:rPr>
          <w:b/>
          <w:sz w:val="48"/>
          <w:szCs w:val="48"/>
        </w:rPr>
      </w:pPr>
    </w:p>
    <w:p w:rsidR="00CF5B74" w:rsidRPr="00CF5B74" w:rsidRDefault="00CF5B74" w:rsidP="00CF5B74">
      <w:pPr>
        <w:spacing w:after="240" w:line="240" w:lineRule="auto"/>
        <w:jc w:val="center"/>
        <w:textAlignment w:val="top"/>
        <w:rPr>
          <w:rFonts w:ascii="Trebuchet MS" w:eastAsia="Times New Roman" w:hAnsi="Trebuchet MS" w:cs="Times New Roman"/>
          <w:color w:val="0D2731"/>
          <w:sz w:val="18"/>
          <w:szCs w:val="18"/>
          <w:lang w:eastAsia="pt-BR"/>
        </w:rPr>
      </w:pPr>
      <w:proofErr w:type="gramStart"/>
      <w:r w:rsidRPr="00CF5B74">
        <w:rPr>
          <w:rFonts w:ascii="Trebuchet MS" w:eastAsia="Times New Roman" w:hAnsi="Trebuchet MS" w:cs="Times New Roman"/>
          <w:color w:val="0D2731"/>
          <w:sz w:val="18"/>
          <w:szCs w:val="18"/>
          <w:lang w:eastAsia="pt-BR"/>
        </w:rPr>
        <w:t>RESOLUÇÃO N</w:t>
      </w:r>
      <w:r w:rsidRPr="00CF5B74">
        <w:rPr>
          <w:rFonts w:ascii="Trebuchet MS" w:eastAsia="Times New Roman" w:hAnsi="Trebuchet MS" w:cs="Times New Roman"/>
          <w:color w:val="0D2731"/>
          <w:sz w:val="18"/>
          <w:szCs w:val="18"/>
          <w:u w:val="single"/>
          <w:bdr w:val="none" w:sz="0" w:space="0" w:color="auto" w:frame="1"/>
          <w:vertAlign w:val="superscript"/>
          <w:lang w:eastAsia="pt-BR"/>
        </w:rPr>
        <w:t>o</w:t>
      </w:r>
      <w:proofErr w:type="gramEnd"/>
      <w:r w:rsidRPr="00CF5B74">
        <w:rPr>
          <w:rFonts w:ascii="Trebuchet MS" w:eastAsia="Times New Roman" w:hAnsi="Trebuchet MS" w:cs="Times New Roman"/>
          <w:color w:val="0D2731"/>
          <w:sz w:val="18"/>
          <w:szCs w:val="18"/>
          <w:lang w:eastAsia="pt-BR"/>
        </w:rPr>
        <w:t> 88, DE 28 DE SETEMBRO DE 2016</w:t>
      </w:r>
      <w:r w:rsidRPr="00CF5B74">
        <w:rPr>
          <w:rFonts w:ascii="Trebuchet MS" w:eastAsia="Times New Roman" w:hAnsi="Trebuchet MS" w:cs="Times New Roman"/>
          <w:color w:val="0D2731"/>
          <w:sz w:val="18"/>
          <w:szCs w:val="18"/>
          <w:lang w:eastAsia="pt-BR"/>
        </w:rPr>
        <w:br/>
      </w:r>
    </w:p>
    <w:p w:rsidR="00CF5B74" w:rsidRPr="00CF5B74" w:rsidRDefault="00CF5B74" w:rsidP="00291EE6">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color w:val="000000"/>
          <w:sz w:val="18"/>
          <w:szCs w:val="18"/>
          <w:lang w:eastAsia="pt-BR"/>
        </w:rPr>
        <w:lastRenderedPageBreak/>
        <w:t>Esclarece que sapatilhas para kart, confeccionadas em camurça ou em microfibra, identificadas nesta Resolução, quando originárias da China, estão sujeitas à incidência do direito antidumping instituído pela Resolução CAMEX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20, de 2016.</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 </w:t>
      </w:r>
      <w:r w:rsidRPr="00CF5B74">
        <w:rPr>
          <w:rFonts w:ascii="Trebuchet MS" w:eastAsia="Times New Roman" w:hAnsi="Trebuchet MS" w:cs="Times New Roman"/>
          <w:color w:val="000000"/>
          <w:sz w:val="18"/>
          <w:szCs w:val="18"/>
          <w:lang w:eastAsia="pt-BR"/>
        </w:rPr>
        <w:t>por intermédio de seu Presidente, no uso da atribuição que lhe confere o § 4</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do art. 5</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do Decreto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xml:space="preserve"> 4.732, de 10 de junho de 2003, e </w:t>
      </w:r>
      <w:proofErr w:type="spellStart"/>
      <w:r w:rsidRPr="00CF5B74">
        <w:rPr>
          <w:rFonts w:ascii="Trebuchet MS" w:eastAsia="Times New Roman" w:hAnsi="Trebuchet MS" w:cs="Times New Roman"/>
          <w:color w:val="000000"/>
          <w:sz w:val="18"/>
          <w:szCs w:val="18"/>
          <w:lang w:eastAsia="pt-BR"/>
        </w:rPr>
        <w:t>comfundamento</w:t>
      </w:r>
      <w:proofErr w:type="spellEnd"/>
      <w:r w:rsidRPr="00CF5B74">
        <w:rPr>
          <w:rFonts w:ascii="Trebuchet MS" w:eastAsia="Times New Roman" w:hAnsi="Trebuchet MS" w:cs="Times New Roman"/>
          <w:color w:val="000000"/>
          <w:sz w:val="18"/>
          <w:szCs w:val="18"/>
          <w:lang w:eastAsia="pt-BR"/>
        </w:rPr>
        <w:t xml:space="preserve"> no art. 6</w:t>
      </w:r>
      <w:r w:rsidRPr="00CF5B74">
        <w:rPr>
          <w:rFonts w:ascii="Trebuchet MS" w:eastAsia="Times New Roman" w:hAnsi="Trebuchet MS" w:cs="Times New Roman"/>
          <w:strike/>
          <w:color w:val="000000"/>
          <w:sz w:val="18"/>
          <w:szCs w:val="18"/>
          <w:bdr w:val="none" w:sz="0" w:space="0" w:color="auto" w:frame="1"/>
          <w:lang w:eastAsia="pt-BR"/>
        </w:rPr>
        <w:t>º</w:t>
      </w:r>
      <w:r w:rsidRPr="00CF5B74">
        <w:rPr>
          <w:rFonts w:ascii="Trebuchet MS" w:eastAsia="Times New Roman" w:hAnsi="Trebuchet MS" w:cs="Times New Roman"/>
          <w:color w:val="000000"/>
          <w:sz w:val="18"/>
          <w:szCs w:val="18"/>
          <w:lang w:eastAsia="pt-BR"/>
        </w:rPr>
        <w:t xml:space="preserve"> da </w:t>
      </w:r>
      <w:proofErr w:type="spellStart"/>
      <w:r w:rsidRPr="00CF5B74">
        <w:rPr>
          <w:rFonts w:ascii="Trebuchet MS" w:eastAsia="Times New Roman" w:hAnsi="Trebuchet MS" w:cs="Times New Roman"/>
          <w:color w:val="000000"/>
          <w:sz w:val="18"/>
          <w:szCs w:val="18"/>
          <w:lang w:eastAsia="pt-BR"/>
        </w:rPr>
        <w:t>Lein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proofErr w:type="spellEnd"/>
      <w:r w:rsidRPr="00CF5B74">
        <w:rPr>
          <w:rFonts w:ascii="Trebuchet MS" w:eastAsia="Times New Roman" w:hAnsi="Trebuchet MS" w:cs="Times New Roman"/>
          <w:color w:val="000000"/>
          <w:sz w:val="18"/>
          <w:szCs w:val="18"/>
          <w:lang w:eastAsia="pt-BR"/>
        </w:rPr>
        <w:t> 9.019, de 30 de março de 1995, no inciso XV do art. 2</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do Decreto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4.732, de 2003, e no inciso I do art. 2</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do Decreto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8.058, de 26 de julho de 2013,</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color w:val="000000"/>
          <w:sz w:val="18"/>
          <w:szCs w:val="18"/>
          <w:lang w:eastAsia="pt-BR"/>
        </w:rPr>
        <w:t>CONSIDERANDO o que consta dos autos do Processo MDIC/SECEX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52272.001170/2016-81,</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b/>
          <w:bCs/>
          <w:color w:val="000000"/>
          <w:sz w:val="18"/>
          <w:szCs w:val="18"/>
          <w:bdr w:val="none" w:sz="0" w:space="0" w:color="auto" w:frame="1"/>
          <w:lang w:eastAsia="pt-BR"/>
        </w:rPr>
        <w:t>RESOLVE,</w:t>
      </w:r>
      <w:r w:rsidRPr="00CF5B74">
        <w:rPr>
          <w:rFonts w:ascii="Trebuchet MS" w:eastAsia="Times New Roman" w:hAnsi="Trebuchet MS" w:cs="Times New Roman"/>
          <w:color w:val="000000"/>
          <w:sz w:val="18"/>
          <w:szCs w:val="18"/>
          <w:lang w:eastAsia="pt-BR"/>
        </w:rPr>
        <w:t> </w:t>
      </w:r>
      <w:r w:rsidRPr="00CF5B74">
        <w:rPr>
          <w:rFonts w:ascii="Trebuchet MS" w:eastAsia="Times New Roman" w:hAnsi="Trebuchet MS" w:cs="Times New Roman"/>
          <w:b/>
          <w:bCs/>
          <w:color w:val="000000"/>
          <w:sz w:val="18"/>
          <w:szCs w:val="18"/>
          <w:bdr w:val="none" w:sz="0" w:space="0" w:color="auto" w:frame="1"/>
          <w:lang w:eastAsia="pt-BR"/>
        </w:rPr>
        <w:t xml:space="preserve">ad </w:t>
      </w:r>
      <w:proofErr w:type="spellStart"/>
      <w:r w:rsidRPr="00CF5B74">
        <w:rPr>
          <w:rFonts w:ascii="Trebuchet MS" w:eastAsia="Times New Roman" w:hAnsi="Trebuchet MS" w:cs="Times New Roman"/>
          <w:b/>
          <w:bCs/>
          <w:color w:val="000000"/>
          <w:sz w:val="18"/>
          <w:szCs w:val="18"/>
          <w:bdr w:val="none" w:sz="0" w:space="0" w:color="auto" w:frame="1"/>
          <w:lang w:eastAsia="pt-BR"/>
        </w:rPr>
        <w:t>referendum</w:t>
      </w:r>
      <w:r w:rsidRPr="00CF5B74">
        <w:rPr>
          <w:rFonts w:ascii="Trebuchet MS" w:eastAsia="Times New Roman" w:hAnsi="Trebuchet MS" w:cs="Times New Roman"/>
          <w:color w:val="000000"/>
          <w:sz w:val="18"/>
          <w:szCs w:val="18"/>
          <w:lang w:eastAsia="pt-BR"/>
        </w:rPr>
        <w:t>do</w:t>
      </w:r>
      <w:proofErr w:type="spellEnd"/>
      <w:r w:rsidRPr="00CF5B74">
        <w:rPr>
          <w:rFonts w:ascii="Trebuchet MS" w:eastAsia="Times New Roman" w:hAnsi="Trebuchet MS" w:cs="Times New Roman"/>
          <w:color w:val="000000"/>
          <w:sz w:val="18"/>
          <w:szCs w:val="18"/>
          <w:lang w:eastAsia="pt-BR"/>
        </w:rPr>
        <w:t xml:space="preserve"> Conselho:</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color w:val="000000"/>
          <w:sz w:val="18"/>
          <w:szCs w:val="18"/>
          <w:lang w:eastAsia="pt-BR"/>
        </w:rPr>
        <w:t>Art. 1</w:t>
      </w:r>
      <w:proofErr w:type="gramStart"/>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Encerrar</w:t>
      </w:r>
      <w:proofErr w:type="gramEnd"/>
      <w:r w:rsidRPr="00CF5B74">
        <w:rPr>
          <w:rFonts w:ascii="Trebuchet MS" w:eastAsia="Times New Roman" w:hAnsi="Trebuchet MS" w:cs="Times New Roman"/>
          <w:color w:val="000000"/>
          <w:sz w:val="18"/>
          <w:szCs w:val="18"/>
          <w:lang w:eastAsia="pt-BR"/>
        </w:rPr>
        <w:t xml:space="preserve"> a avaliação de escopo e determinar que as sapatilhas para kart confeccionadas em camurça ou em microfibra, identificadas nesta Resolução, estão sujeitas à aplicação dos direitos antidumping sobre as importações de calçados da China, instituídos pela Resolução CAMEX n</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20, de 1</w:t>
      </w:r>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de março de 2016.</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color w:val="000000"/>
          <w:sz w:val="18"/>
          <w:szCs w:val="18"/>
          <w:lang w:eastAsia="pt-BR"/>
        </w:rPr>
        <w:t>Art. 2</w:t>
      </w:r>
      <w:proofErr w:type="gramStart"/>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Tornar</w:t>
      </w:r>
      <w:proofErr w:type="gramEnd"/>
      <w:r w:rsidRPr="00CF5B74">
        <w:rPr>
          <w:rFonts w:ascii="Trebuchet MS" w:eastAsia="Times New Roman" w:hAnsi="Trebuchet MS" w:cs="Times New Roman"/>
          <w:color w:val="000000"/>
          <w:sz w:val="18"/>
          <w:szCs w:val="18"/>
          <w:lang w:eastAsia="pt-BR"/>
        </w:rPr>
        <w:t xml:space="preserve"> públicos os fatos que justificaram a decisão, conforme consta do Anexo.</w:t>
      </w:r>
    </w:p>
    <w:p w:rsidR="00CF5B74" w:rsidRPr="00CF5B74" w:rsidRDefault="00CF5B74" w:rsidP="00CF5B74">
      <w:pPr>
        <w:spacing w:after="240" w:line="240" w:lineRule="auto"/>
        <w:textAlignment w:val="top"/>
        <w:rPr>
          <w:rFonts w:ascii="Trebuchet MS" w:eastAsia="Times New Roman" w:hAnsi="Trebuchet MS" w:cs="Times New Roman"/>
          <w:color w:val="000000"/>
          <w:sz w:val="18"/>
          <w:szCs w:val="18"/>
          <w:lang w:eastAsia="pt-BR"/>
        </w:rPr>
      </w:pPr>
      <w:r w:rsidRPr="00CF5B74">
        <w:rPr>
          <w:rFonts w:ascii="Trebuchet MS" w:eastAsia="Times New Roman" w:hAnsi="Trebuchet MS" w:cs="Times New Roman"/>
          <w:color w:val="000000"/>
          <w:sz w:val="18"/>
          <w:szCs w:val="18"/>
          <w:lang w:eastAsia="pt-BR"/>
        </w:rPr>
        <w:t>Art. 3</w:t>
      </w:r>
      <w:proofErr w:type="gramStart"/>
      <w:r w:rsidRPr="00CF5B74">
        <w:rPr>
          <w:rFonts w:ascii="Trebuchet MS" w:eastAsia="Times New Roman" w:hAnsi="Trebuchet MS" w:cs="Times New Roman"/>
          <w:color w:val="000000"/>
          <w:sz w:val="18"/>
          <w:szCs w:val="18"/>
          <w:u w:val="single"/>
          <w:bdr w:val="none" w:sz="0" w:space="0" w:color="auto" w:frame="1"/>
          <w:vertAlign w:val="superscript"/>
          <w:lang w:eastAsia="pt-BR"/>
        </w:rPr>
        <w:t>o</w:t>
      </w:r>
      <w:r w:rsidRPr="00CF5B74">
        <w:rPr>
          <w:rFonts w:ascii="Trebuchet MS" w:eastAsia="Times New Roman" w:hAnsi="Trebuchet MS" w:cs="Times New Roman"/>
          <w:color w:val="000000"/>
          <w:sz w:val="18"/>
          <w:szCs w:val="18"/>
          <w:lang w:eastAsia="pt-BR"/>
        </w:rPr>
        <w:t>  Esta</w:t>
      </w:r>
      <w:proofErr w:type="gramEnd"/>
      <w:r w:rsidRPr="00CF5B74">
        <w:rPr>
          <w:rFonts w:ascii="Trebuchet MS" w:eastAsia="Times New Roman" w:hAnsi="Trebuchet MS" w:cs="Times New Roman"/>
          <w:color w:val="000000"/>
          <w:sz w:val="18"/>
          <w:szCs w:val="18"/>
          <w:lang w:eastAsia="pt-BR"/>
        </w:rPr>
        <w:t xml:space="preserve"> Resolução entra em vigor na data de sua publicação.</w:t>
      </w:r>
    </w:p>
    <w:p w:rsidR="00CF5B74" w:rsidRPr="00CF5B74" w:rsidRDefault="00CF5B74" w:rsidP="00CF5B74">
      <w:pPr>
        <w:spacing w:after="0" w:line="240" w:lineRule="auto"/>
        <w:jc w:val="center"/>
        <w:textAlignment w:val="top"/>
        <w:rPr>
          <w:rFonts w:ascii="Trebuchet MS" w:eastAsia="Times New Roman" w:hAnsi="Trebuchet MS" w:cs="Times New Roman"/>
          <w:color w:val="0D2731"/>
          <w:sz w:val="18"/>
          <w:szCs w:val="18"/>
          <w:lang w:eastAsia="pt-BR"/>
        </w:rPr>
      </w:pPr>
      <w:r w:rsidRPr="00CF5B74">
        <w:rPr>
          <w:rFonts w:ascii="Trebuchet MS" w:eastAsia="Times New Roman" w:hAnsi="Trebuchet MS" w:cs="Times New Roman"/>
          <w:b/>
          <w:bCs/>
          <w:color w:val="0D2731"/>
          <w:sz w:val="18"/>
          <w:szCs w:val="18"/>
          <w:bdr w:val="none" w:sz="0" w:space="0" w:color="auto" w:frame="1"/>
          <w:lang w:eastAsia="pt-BR"/>
        </w:rPr>
        <w:t>JOSÉ SERRA</w:t>
      </w:r>
    </w:p>
    <w:p w:rsidR="00CF5B74" w:rsidRDefault="00CF5B74" w:rsidP="00CF5B74">
      <w:pPr>
        <w:spacing w:before="150" w:after="150" w:line="240" w:lineRule="auto"/>
        <w:jc w:val="center"/>
        <w:textAlignment w:val="top"/>
        <w:rPr>
          <w:rFonts w:ascii="Trebuchet MS" w:eastAsia="Times New Roman" w:hAnsi="Trebuchet MS" w:cs="Times New Roman"/>
          <w:color w:val="0D2731"/>
          <w:sz w:val="18"/>
          <w:szCs w:val="18"/>
          <w:lang w:eastAsia="pt-BR"/>
        </w:rPr>
      </w:pPr>
      <w:r w:rsidRPr="00CF5B74">
        <w:rPr>
          <w:rFonts w:ascii="Trebuchet MS" w:eastAsia="Times New Roman" w:hAnsi="Trebuchet MS" w:cs="Times New Roman"/>
          <w:color w:val="0D2731"/>
          <w:sz w:val="18"/>
          <w:szCs w:val="18"/>
          <w:lang w:eastAsia="pt-BR"/>
        </w:rPr>
        <w:t xml:space="preserve">Presidente do Comitê Executivo de Gestão – </w:t>
      </w:r>
      <w:proofErr w:type="spellStart"/>
      <w:r w:rsidRPr="00CF5B74">
        <w:rPr>
          <w:rFonts w:ascii="Trebuchet MS" w:eastAsia="Times New Roman" w:hAnsi="Trebuchet MS" w:cs="Times New Roman"/>
          <w:color w:val="0D2731"/>
          <w:sz w:val="18"/>
          <w:szCs w:val="18"/>
          <w:lang w:eastAsia="pt-BR"/>
        </w:rPr>
        <w:t>Gecex</w:t>
      </w:r>
      <w:proofErr w:type="spellEnd"/>
    </w:p>
    <w:p w:rsidR="00AA1ABE" w:rsidRDefault="00AA1ABE" w:rsidP="00CF5B74">
      <w:pPr>
        <w:spacing w:before="150" w:after="150" w:line="240" w:lineRule="auto"/>
        <w:jc w:val="center"/>
        <w:textAlignment w:val="top"/>
        <w:rPr>
          <w:rFonts w:ascii="Trebuchet MS" w:eastAsia="Times New Roman" w:hAnsi="Trebuchet MS" w:cs="Times New Roman"/>
          <w:color w:val="0D2731"/>
          <w:sz w:val="18"/>
          <w:szCs w:val="18"/>
          <w:lang w:eastAsia="pt-BR"/>
        </w:rPr>
      </w:pPr>
    </w:p>
    <w:p w:rsidR="00AA1ABE" w:rsidRDefault="00AA1ABE" w:rsidP="00CF5B74">
      <w:pPr>
        <w:spacing w:before="150" w:after="150" w:line="240" w:lineRule="auto"/>
        <w:jc w:val="center"/>
        <w:textAlignment w:val="top"/>
        <w:rPr>
          <w:rFonts w:ascii="Trebuchet MS" w:eastAsia="Times New Roman" w:hAnsi="Trebuchet MS" w:cs="Times New Roman"/>
          <w:color w:val="0D2731"/>
          <w:sz w:val="18"/>
          <w:szCs w:val="18"/>
          <w:lang w:eastAsia="pt-BR"/>
        </w:rPr>
      </w:pPr>
    </w:p>
    <w:p w:rsidR="00AA1ABE" w:rsidRDefault="00AA1ABE" w:rsidP="00CF5B74">
      <w:pPr>
        <w:spacing w:before="150" w:after="150" w:line="240" w:lineRule="auto"/>
        <w:jc w:val="center"/>
        <w:textAlignment w:val="top"/>
        <w:rPr>
          <w:rFonts w:ascii="Trebuchet MS" w:eastAsia="Times New Roman" w:hAnsi="Trebuchet MS" w:cs="Times New Roman"/>
          <w:color w:val="0D2731"/>
          <w:sz w:val="18"/>
          <w:szCs w:val="18"/>
          <w:lang w:eastAsia="pt-BR"/>
        </w:rPr>
      </w:pPr>
    </w:p>
    <w:p w:rsidR="00AA1ABE" w:rsidRPr="00AA1ABE" w:rsidRDefault="00DE784E" w:rsidP="00AA1ABE">
      <w:pPr>
        <w:spacing w:before="150" w:after="150" w:line="240" w:lineRule="auto"/>
        <w:jc w:val="center"/>
        <w:textAlignment w:val="top"/>
        <w:rPr>
          <w:b/>
          <w:sz w:val="24"/>
          <w:szCs w:val="24"/>
        </w:rPr>
      </w:pPr>
      <w:r w:rsidRPr="00AA1ABE">
        <w:rPr>
          <w:b/>
          <w:sz w:val="24"/>
          <w:szCs w:val="24"/>
        </w:rPr>
        <w:t>RESOLUÇÃO</w:t>
      </w:r>
      <w:r w:rsidR="00AA1ABE" w:rsidRPr="00AA1ABE">
        <w:rPr>
          <w:b/>
          <w:sz w:val="24"/>
          <w:szCs w:val="24"/>
        </w:rPr>
        <w:t xml:space="preserve"> CAMEX</w:t>
      </w:r>
      <w:r w:rsidRPr="00AA1ABE">
        <w:rPr>
          <w:b/>
          <w:sz w:val="24"/>
          <w:szCs w:val="24"/>
        </w:rPr>
        <w:t xml:space="preserve"> No 94, DE 29 DE SETEMBRO DE 2016(DOU 30/9/2016)</w:t>
      </w:r>
    </w:p>
    <w:p w:rsidR="00AA1ABE" w:rsidRDefault="00AA1ABE" w:rsidP="00AA1ABE">
      <w:pPr>
        <w:spacing w:before="150" w:after="150" w:line="240" w:lineRule="auto"/>
        <w:textAlignment w:val="top"/>
        <w:rPr>
          <w:sz w:val="24"/>
          <w:szCs w:val="24"/>
        </w:rPr>
      </w:pPr>
    </w:p>
    <w:p w:rsidR="00AA1ABE" w:rsidRDefault="00DE784E" w:rsidP="00AA1ABE">
      <w:pPr>
        <w:spacing w:before="150" w:after="150" w:line="240" w:lineRule="auto"/>
        <w:textAlignment w:val="top"/>
        <w:rPr>
          <w:sz w:val="24"/>
          <w:szCs w:val="24"/>
        </w:rPr>
      </w:pPr>
      <w:r w:rsidRPr="00AA1ABE">
        <w:rPr>
          <w:sz w:val="24"/>
          <w:szCs w:val="24"/>
        </w:rPr>
        <w:t xml:space="preserve">Prorroga direito antidumping definitivo, por um prazo de até 5 (cinco) anos, aplicado às importações brasileiras de sacos de juta, originárias da Índia e de Bangladesh. O CONSELHO DA CÂMARA DE COMÉRCIO EXTERIOR, com fundamento no art. 6º da Lei nº 9.019, de 1995, no inciso XV do art. 2º do Decreto nº 4.732, de 2003, e no inciso I do art. 2º do Decreto nº 8.058, de 2013; </w:t>
      </w:r>
      <w:proofErr w:type="gramStart"/>
      <w:r w:rsidRPr="00AA1ABE">
        <w:rPr>
          <w:sz w:val="24"/>
          <w:szCs w:val="24"/>
        </w:rPr>
        <w:t>Considerando</w:t>
      </w:r>
      <w:proofErr w:type="gramEnd"/>
      <w:r w:rsidRPr="00AA1ABE">
        <w:rPr>
          <w:sz w:val="24"/>
          <w:szCs w:val="24"/>
        </w:rPr>
        <w:t xml:space="preserve"> o Processo MDIC/SECEX 52272.000611/2015-46, resolve: </w:t>
      </w:r>
    </w:p>
    <w:p w:rsidR="00AA1ABE" w:rsidRDefault="00DE784E" w:rsidP="00AA1ABE">
      <w:pPr>
        <w:spacing w:before="150" w:after="150" w:line="240" w:lineRule="auto"/>
        <w:textAlignment w:val="top"/>
        <w:rPr>
          <w:sz w:val="24"/>
          <w:szCs w:val="24"/>
        </w:rPr>
      </w:pPr>
      <w:r w:rsidRPr="00AA1ABE">
        <w:rPr>
          <w:sz w:val="24"/>
          <w:szCs w:val="24"/>
        </w:rPr>
        <w:t xml:space="preserve">Art. 1º Prorrogar a aplicação do direito antidumping definitivo, por um prazo de até 5 (cinco) anos, aplicado às importações brasileiras de sacos de juta, comumente classificados no item 6305.10.00 da Nomenclatura Comum do MERCOSUL - NCM, originárias da Índia e de Bangladesh, a ser recolhido sob a forma de alíquota específica fixada em dólares estadunidenses por quilograma, nos montantes abaixo especificados: </w:t>
      </w:r>
    </w:p>
    <w:p w:rsidR="00AA1ABE" w:rsidRDefault="00DE784E" w:rsidP="00AA1ABE">
      <w:pPr>
        <w:spacing w:before="150" w:after="150" w:line="240" w:lineRule="auto"/>
        <w:textAlignment w:val="top"/>
        <w:rPr>
          <w:sz w:val="24"/>
          <w:szCs w:val="24"/>
        </w:rPr>
      </w:pPr>
      <w:r w:rsidRPr="00AA1ABE">
        <w:rPr>
          <w:sz w:val="24"/>
          <w:szCs w:val="24"/>
        </w:rPr>
        <w:t xml:space="preserve">Origem Produtor/Exportador Direito Antidumping Definitivo (em US$/kg) </w:t>
      </w:r>
    </w:p>
    <w:p w:rsidR="00AA1ABE" w:rsidRDefault="00DE784E" w:rsidP="00AA1ABE">
      <w:pPr>
        <w:spacing w:before="150" w:after="150" w:line="240" w:lineRule="auto"/>
        <w:textAlignment w:val="top"/>
        <w:rPr>
          <w:sz w:val="24"/>
          <w:szCs w:val="24"/>
        </w:rPr>
      </w:pPr>
      <w:r w:rsidRPr="00AA1ABE">
        <w:rPr>
          <w:sz w:val="24"/>
          <w:szCs w:val="24"/>
        </w:rPr>
        <w:t xml:space="preserve">Bangladesh Todas as empresas 0,16 </w:t>
      </w:r>
    </w:p>
    <w:p w:rsidR="00AA1ABE" w:rsidRDefault="00DE784E" w:rsidP="00AA1ABE">
      <w:pPr>
        <w:spacing w:before="150" w:after="150" w:line="240" w:lineRule="auto"/>
        <w:textAlignment w:val="top"/>
        <w:rPr>
          <w:sz w:val="24"/>
          <w:szCs w:val="24"/>
        </w:rPr>
      </w:pPr>
      <w:r w:rsidRPr="00AA1ABE">
        <w:rPr>
          <w:sz w:val="24"/>
          <w:szCs w:val="24"/>
        </w:rPr>
        <w:t xml:space="preserve">Índia </w:t>
      </w:r>
      <w:proofErr w:type="spellStart"/>
      <w:r w:rsidRPr="00AA1ABE">
        <w:rPr>
          <w:sz w:val="24"/>
          <w:szCs w:val="24"/>
        </w:rPr>
        <w:t>Birla</w:t>
      </w:r>
      <w:proofErr w:type="spellEnd"/>
      <w:r w:rsidRPr="00AA1ABE">
        <w:rPr>
          <w:sz w:val="24"/>
          <w:szCs w:val="24"/>
        </w:rPr>
        <w:t xml:space="preserve"> Corporation </w:t>
      </w:r>
      <w:proofErr w:type="spellStart"/>
      <w:r w:rsidRPr="00AA1ABE">
        <w:rPr>
          <w:sz w:val="24"/>
          <w:szCs w:val="24"/>
        </w:rPr>
        <w:t>Limited</w:t>
      </w:r>
      <w:proofErr w:type="spellEnd"/>
      <w:r w:rsidRPr="00AA1ABE">
        <w:rPr>
          <w:sz w:val="24"/>
          <w:szCs w:val="24"/>
        </w:rPr>
        <w:t xml:space="preserve"> 0,15 </w:t>
      </w:r>
      <w:proofErr w:type="spellStart"/>
      <w:r w:rsidRPr="00AA1ABE">
        <w:rPr>
          <w:sz w:val="24"/>
          <w:szCs w:val="24"/>
        </w:rPr>
        <w:t>Gloster</w:t>
      </w:r>
      <w:proofErr w:type="spellEnd"/>
      <w:r w:rsidRPr="00AA1ABE">
        <w:rPr>
          <w:sz w:val="24"/>
          <w:szCs w:val="24"/>
        </w:rPr>
        <w:t xml:space="preserve"> </w:t>
      </w:r>
      <w:proofErr w:type="spellStart"/>
      <w:r w:rsidRPr="00AA1ABE">
        <w:rPr>
          <w:sz w:val="24"/>
          <w:szCs w:val="24"/>
        </w:rPr>
        <w:t>Jute</w:t>
      </w:r>
      <w:proofErr w:type="spellEnd"/>
      <w:r w:rsidRPr="00AA1ABE">
        <w:rPr>
          <w:sz w:val="24"/>
          <w:szCs w:val="24"/>
        </w:rPr>
        <w:t xml:space="preserve"> Mills </w:t>
      </w:r>
      <w:proofErr w:type="spellStart"/>
      <w:r w:rsidRPr="00AA1ABE">
        <w:rPr>
          <w:sz w:val="24"/>
          <w:szCs w:val="24"/>
        </w:rPr>
        <w:t>Limited</w:t>
      </w:r>
      <w:proofErr w:type="spellEnd"/>
      <w:r w:rsidRPr="00AA1ABE">
        <w:rPr>
          <w:sz w:val="24"/>
          <w:szCs w:val="24"/>
        </w:rPr>
        <w:t xml:space="preserve"> 0,00 </w:t>
      </w:r>
      <w:proofErr w:type="spellStart"/>
      <w:r w:rsidRPr="00AA1ABE">
        <w:rPr>
          <w:sz w:val="24"/>
          <w:szCs w:val="24"/>
        </w:rPr>
        <w:t>Hooghly</w:t>
      </w:r>
      <w:proofErr w:type="spellEnd"/>
      <w:r w:rsidRPr="00AA1ABE">
        <w:rPr>
          <w:sz w:val="24"/>
          <w:szCs w:val="24"/>
        </w:rPr>
        <w:t xml:space="preserve"> </w:t>
      </w:r>
      <w:proofErr w:type="spellStart"/>
      <w:r w:rsidRPr="00AA1ABE">
        <w:rPr>
          <w:sz w:val="24"/>
          <w:szCs w:val="24"/>
        </w:rPr>
        <w:t>Infrastructure</w:t>
      </w:r>
      <w:proofErr w:type="spellEnd"/>
      <w:r w:rsidRPr="00AA1ABE">
        <w:rPr>
          <w:sz w:val="24"/>
          <w:szCs w:val="24"/>
        </w:rPr>
        <w:t xml:space="preserve"> </w:t>
      </w:r>
      <w:proofErr w:type="spellStart"/>
      <w:r w:rsidRPr="00AA1ABE">
        <w:rPr>
          <w:sz w:val="24"/>
          <w:szCs w:val="24"/>
        </w:rPr>
        <w:t>Pvt</w:t>
      </w:r>
      <w:proofErr w:type="spellEnd"/>
      <w:r w:rsidRPr="00AA1ABE">
        <w:rPr>
          <w:sz w:val="24"/>
          <w:szCs w:val="24"/>
        </w:rPr>
        <w:t xml:space="preserve">. </w:t>
      </w:r>
      <w:proofErr w:type="spellStart"/>
      <w:r w:rsidRPr="00AA1ABE">
        <w:rPr>
          <w:sz w:val="24"/>
          <w:szCs w:val="24"/>
        </w:rPr>
        <w:t>Ltd</w:t>
      </w:r>
      <w:proofErr w:type="spellEnd"/>
      <w:r w:rsidRPr="00AA1ABE">
        <w:rPr>
          <w:sz w:val="24"/>
          <w:szCs w:val="24"/>
        </w:rPr>
        <w:t xml:space="preserve">. 0,00 Demais empresas 0,45 </w:t>
      </w:r>
    </w:p>
    <w:p w:rsidR="00AA1ABE" w:rsidRDefault="00DE784E" w:rsidP="00AA1ABE">
      <w:pPr>
        <w:spacing w:before="150" w:after="150" w:line="240" w:lineRule="auto"/>
        <w:textAlignment w:val="top"/>
        <w:rPr>
          <w:sz w:val="24"/>
          <w:szCs w:val="24"/>
        </w:rPr>
      </w:pPr>
      <w:r w:rsidRPr="00AA1ABE">
        <w:rPr>
          <w:sz w:val="24"/>
          <w:szCs w:val="24"/>
        </w:rPr>
        <w:t xml:space="preserve">Art. 2º Tornar públicos os fatos que justificaram a decisão, conforme consta do Anexo I. </w:t>
      </w:r>
    </w:p>
    <w:p w:rsidR="00AA1ABE" w:rsidRDefault="00DE784E" w:rsidP="00AA1ABE">
      <w:pPr>
        <w:spacing w:before="150" w:after="150" w:line="240" w:lineRule="auto"/>
        <w:textAlignment w:val="top"/>
        <w:rPr>
          <w:sz w:val="24"/>
          <w:szCs w:val="24"/>
        </w:rPr>
      </w:pPr>
      <w:r w:rsidRPr="00AA1ABE">
        <w:rPr>
          <w:sz w:val="24"/>
          <w:szCs w:val="24"/>
        </w:rPr>
        <w:t xml:space="preserve">Art. 3º Esta Resolução entra em vigor na data de sua publicação. </w:t>
      </w:r>
    </w:p>
    <w:p w:rsidR="00DE784E" w:rsidRDefault="00DE784E" w:rsidP="00AA1ABE">
      <w:pPr>
        <w:spacing w:before="150" w:after="150" w:line="240" w:lineRule="auto"/>
        <w:textAlignment w:val="top"/>
        <w:rPr>
          <w:sz w:val="24"/>
          <w:szCs w:val="24"/>
        </w:rPr>
      </w:pPr>
      <w:r w:rsidRPr="00AA1ABE">
        <w:rPr>
          <w:sz w:val="24"/>
          <w:szCs w:val="24"/>
        </w:rPr>
        <w:lastRenderedPageBreak/>
        <w:t xml:space="preserve">JOSÉ SERRA Presidente do Comitê Executivo de Gestão - </w:t>
      </w:r>
      <w:proofErr w:type="spellStart"/>
      <w:r w:rsidRPr="00AA1ABE">
        <w:rPr>
          <w:sz w:val="24"/>
          <w:szCs w:val="24"/>
        </w:rPr>
        <w:t>Gecex</w:t>
      </w:r>
      <w:proofErr w:type="spellEnd"/>
      <w:r w:rsidRPr="00AA1ABE">
        <w:rPr>
          <w:sz w:val="24"/>
          <w:szCs w:val="24"/>
        </w:rPr>
        <w:t xml:space="preserve"> </w:t>
      </w:r>
    </w:p>
    <w:p w:rsidR="004A7EDC" w:rsidRDefault="004A7EDC" w:rsidP="00AA1ABE">
      <w:pPr>
        <w:spacing w:before="150" w:after="150" w:line="240" w:lineRule="auto"/>
        <w:textAlignment w:val="top"/>
        <w:rPr>
          <w:sz w:val="24"/>
          <w:szCs w:val="24"/>
        </w:rPr>
      </w:pPr>
    </w:p>
    <w:p w:rsidR="004A7EDC" w:rsidRDefault="004A7EDC" w:rsidP="00AA1ABE">
      <w:pPr>
        <w:spacing w:before="150" w:after="150" w:line="240" w:lineRule="auto"/>
        <w:textAlignment w:val="top"/>
        <w:rPr>
          <w:sz w:val="24"/>
          <w:szCs w:val="24"/>
        </w:rPr>
      </w:pPr>
    </w:p>
    <w:p w:rsidR="004A7EDC" w:rsidRPr="00AA1ABE" w:rsidRDefault="004A7EDC" w:rsidP="00AA1ABE">
      <w:pPr>
        <w:spacing w:before="150" w:after="150" w:line="240" w:lineRule="auto"/>
        <w:textAlignment w:val="top"/>
        <w:rPr>
          <w:sz w:val="24"/>
          <w:szCs w:val="24"/>
        </w:rPr>
      </w:pPr>
    </w:p>
    <w:p w:rsidR="002049F8" w:rsidRPr="002049F8" w:rsidRDefault="00DE784E" w:rsidP="002049F8">
      <w:pPr>
        <w:spacing w:before="150" w:after="150" w:line="240" w:lineRule="auto"/>
        <w:jc w:val="center"/>
        <w:textAlignment w:val="top"/>
        <w:rPr>
          <w:b/>
          <w:sz w:val="24"/>
          <w:szCs w:val="24"/>
        </w:rPr>
      </w:pPr>
      <w:r w:rsidRPr="002049F8">
        <w:rPr>
          <w:b/>
          <w:sz w:val="24"/>
          <w:szCs w:val="24"/>
        </w:rPr>
        <w:t>RESOLUÇÃO</w:t>
      </w:r>
      <w:r w:rsidR="002049F8" w:rsidRPr="002049F8">
        <w:rPr>
          <w:b/>
          <w:sz w:val="24"/>
          <w:szCs w:val="24"/>
        </w:rPr>
        <w:t xml:space="preserve"> CAMEX</w:t>
      </w:r>
      <w:r w:rsidRPr="002049F8">
        <w:rPr>
          <w:b/>
          <w:sz w:val="24"/>
          <w:szCs w:val="24"/>
        </w:rPr>
        <w:t xml:space="preserve"> No 93, DE 29 DE SETEMBRO DE 2016</w:t>
      </w:r>
      <w:r w:rsidR="002049F8" w:rsidRPr="002049F8">
        <w:rPr>
          <w:b/>
          <w:sz w:val="24"/>
          <w:szCs w:val="24"/>
        </w:rPr>
        <w:t xml:space="preserve"> (DOU 30/9/2016)</w:t>
      </w:r>
    </w:p>
    <w:p w:rsidR="002049F8" w:rsidRDefault="00DE784E" w:rsidP="00AA1ABE">
      <w:pPr>
        <w:spacing w:before="150" w:after="150" w:line="240" w:lineRule="auto"/>
        <w:textAlignment w:val="top"/>
        <w:rPr>
          <w:sz w:val="24"/>
          <w:szCs w:val="24"/>
        </w:rPr>
      </w:pPr>
      <w:r w:rsidRPr="00AA1ABE">
        <w:rPr>
          <w:sz w:val="24"/>
          <w:szCs w:val="24"/>
        </w:rPr>
        <w:t xml:space="preserve"> Encerra a avaliação de interesse público, sem a suspensão do direito antidumping aplicado às importações brasileiras de fios de náilon, de que trata a Resolução CAMEX nº 124, de 26 de dezembro de 2013. O CONSELHO DA CÂMARA DE COMÉRCIO EXTERIOR, com fundamento no inciso I do art. 3º do Decreto no 8.058, de 2013, </w:t>
      </w:r>
      <w:proofErr w:type="gramStart"/>
      <w:r w:rsidRPr="00AA1ABE">
        <w:rPr>
          <w:sz w:val="24"/>
          <w:szCs w:val="24"/>
        </w:rPr>
        <w:t>Considerando</w:t>
      </w:r>
      <w:proofErr w:type="gramEnd"/>
      <w:r w:rsidRPr="00AA1ABE">
        <w:rPr>
          <w:sz w:val="24"/>
          <w:szCs w:val="24"/>
        </w:rPr>
        <w:t xml:space="preserve"> o que consta nos Processos SEAE/MF nº 18101.000869/2015-76 e CAMEX/MDIC nº 52002.000538/2015-92, resolve: </w:t>
      </w:r>
    </w:p>
    <w:p w:rsidR="002049F8" w:rsidRDefault="00DE784E" w:rsidP="00AA1ABE">
      <w:pPr>
        <w:spacing w:before="150" w:after="150" w:line="240" w:lineRule="auto"/>
        <w:textAlignment w:val="top"/>
        <w:rPr>
          <w:sz w:val="24"/>
          <w:szCs w:val="24"/>
        </w:rPr>
      </w:pPr>
      <w:r w:rsidRPr="00AA1ABE">
        <w:rPr>
          <w:sz w:val="24"/>
          <w:szCs w:val="24"/>
        </w:rPr>
        <w:t xml:space="preserve">Art. 1o Encerrar a avaliação de interesse público instaurada por meio da Resolução CAMEX nº 114, de 24 de novembro de 2015, e não suspender o direito antidumping definitivo aplicado às importações brasileiras de fios de náilon, comumente classificados nos códigos 5402.31.11, 5402.31.19 e 5402.45.20 da Nomenclatura Comum do MERCOSUL - NCM, originárias da China, Coreia do Sul, Tailândia e Taipé Chinês, a que se refere a Resolução CAMEX nº 124, de 26 de dezembro de 2013. </w:t>
      </w:r>
    </w:p>
    <w:p w:rsidR="002049F8" w:rsidRDefault="00DE784E" w:rsidP="00AA1ABE">
      <w:pPr>
        <w:spacing w:before="150" w:after="150" w:line="240" w:lineRule="auto"/>
        <w:textAlignment w:val="top"/>
        <w:rPr>
          <w:sz w:val="24"/>
          <w:szCs w:val="24"/>
        </w:rPr>
      </w:pPr>
      <w:r w:rsidRPr="00AA1ABE">
        <w:rPr>
          <w:sz w:val="24"/>
          <w:szCs w:val="24"/>
        </w:rPr>
        <w:t xml:space="preserve">Art. 2o Esta Resolução entra em vigor na data de sua publicação. </w:t>
      </w:r>
    </w:p>
    <w:p w:rsidR="002049F8" w:rsidRDefault="00DE784E" w:rsidP="00AA1ABE">
      <w:pPr>
        <w:spacing w:before="150" w:after="150" w:line="240" w:lineRule="auto"/>
        <w:textAlignment w:val="top"/>
        <w:rPr>
          <w:sz w:val="24"/>
          <w:szCs w:val="24"/>
        </w:rPr>
      </w:pPr>
      <w:r w:rsidRPr="00AA1ABE">
        <w:rPr>
          <w:sz w:val="24"/>
          <w:szCs w:val="24"/>
        </w:rPr>
        <w:t xml:space="preserve">JOSÉ SERRA Presidente do Comitê Executivo de Gestão - </w:t>
      </w:r>
      <w:proofErr w:type="spellStart"/>
      <w:r w:rsidRPr="00AA1ABE">
        <w:rPr>
          <w:sz w:val="24"/>
          <w:szCs w:val="24"/>
        </w:rPr>
        <w:t>Gecex</w:t>
      </w:r>
      <w:proofErr w:type="spellEnd"/>
      <w:r w:rsidRPr="00AA1ABE">
        <w:rPr>
          <w:sz w:val="24"/>
          <w:szCs w:val="24"/>
        </w:rPr>
        <w:t xml:space="preserve"> </w:t>
      </w:r>
    </w:p>
    <w:p w:rsidR="002049F8" w:rsidRDefault="002049F8" w:rsidP="00AA1ABE">
      <w:pPr>
        <w:spacing w:before="150" w:after="150" w:line="240" w:lineRule="auto"/>
        <w:textAlignment w:val="top"/>
        <w:rPr>
          <w:sz w:val="24"/>
          <w:szCs w:val="24"/>
        </w:rPr>
      </w:pPr>
    </w:p>
    <w:p w:rsidR="00C12DBB" w:rsidRPr="00AA1ABE" w:rsidRDefault="00C12DBB" w:rsidP="00AA1ABE">
      <w:pPr>
        <w:spacing w:before="150" w:after="150" w:line="240" w:lineRule="auto"/>
        <w:textAlignment w:val="top"/>
        <w:rPr>
          <w:sz w:val="24"/>
          <w:szCs w:val="24"/>
        </w:rPr>
      </w:pPr>
    </w:p>
    <w:p w:rsidR="004A1DC3" w:rsidRPr="004A1DC3" w:rsidRDefault="004A1DC3" w:rsidP="004A1DC3">
      <w:pPr>
        <w:spacing w:before="150" w:after="150" w:line="240" w:lineRule="auto"/>
        <w:jc w:val="center"/>
        <w:textAlignment w:val="top"/>
        <w:rPr>
          <w:b/>
          <w:sz w:val="24"/>
          <w:szCs w:val="24"/>
        </w:rPr>
      </w:pPr>
      <w:r w:rsidRPr="004A1DC3">
        <w:rPr>
          <w:b/>
          <w:sz w:val="24"/>
          <w:szCs w:val="24"/>
        </w:rPr>
        <w:t>C</w:t>
      </w:r>
      <w:r w:rsidR="00C12DBB" w:rsidRPr="004A1DC3">
        <w:rPr>
          <w:b/>
          <w:sz w:val="24"/>
          <w:szCs w:val="24"/>
        </w:rPr>
        <w:t>IRCULAR</w:t>
      </w:r>
      <w:r w:rsidRPr="004A1DC3">
        <w:rPr>
          <w:b/>
          <w:sz w:val="24"/>
          <w:szCs w:val="24"/>
        </w:rPr>
        <w:t xml:space="preserve"> SECEX</w:t>
      </w:r>
      <w:r w:rsidR="00C12DBB" w:rsidRPr="004A1DC3">
        <w:rPr>
          <w:b/>
          <w:sz w:val="24"/>
          <w:szCs w:val="24"/>
        </w:rPr>
        <w:t xml:space="preserve"> No 59, DE 30 DE SETEMBRO DE 2016 (D.O.U. de 03/10/2016)</w:t>
      </w:r>
    </w:p>
    <w:p w:rsidR="004A1DC3" w:rsidRDefault="004A1DC3" w:rsidP="00AA1ABE">
      <w:pPr>
        <w:spacing w:before="150" w:after="150" w:line="240" w:lineRule="auto"/>
        <w:textAlignment w:val="top"/>
        <w:rPr>
          <w:sz w:val="24"/>
          <w:szCs w:val="24"/>
        </w:rPr>
      </w:pPr>
    </w:p>
    <w:p w:rsidR="00AC6562" w:rsidRDefault="00C12DBB" w:rsidP="00AA1ABE">
      <w:pPr>
        <w:spacing w:before="150" w:after="150" w:line="240" w:lineRule="auto"/>
        <w:textAlignment w:val="top"/>
        <w:rPr>
          <w:sz w:val="24"/>
          <w:szCs w:val="24"/>
        </w:rPr>
      </w:pPr>
      <w:r w:rsidRPr="00AA1ABE">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AA1ABE">
        <w:rPr>
          <w:sz w:val="24"/>
          <w:szCs w:val="24"/>
        </w:rPr>
        <w:t>arts</w:t>
      </w:r>
      <w:proofErr w:type="spellEnd"/>
      <w:r w:rsidRPr="00AA1ABE">
        <w:rPr>
          <w:sz w:val="24"/>
          <w:szCs w:val="24"/>
        </w:rPr>
        <w:t xml:space="preserve">. 5 o e 112, e tendo em vista o constante no Processo MDIC/SECEX n o 52272.001170/2015-08, decide prorrogar por até dois meses, a partir de 8 de outubro de 2016, o prazo para conclusão da revisão do direito antidumping aplicado sobre as importações brasileiras de resina de polipropileno, comumente classificadas nos itens 3902.10.20 e 3902.30.00 da Nomenclatura Comum do MERCOSUL - NCM, originárias dos Estados Unidos da América, iniciada por intermédio da Circular SECEX no 78, de 7 de dezembro de 2015, publicada no Diário Oficial da União - D.O.U. de 8 de dezembro de 2015. </w:t>
      </w:r>
    </w:p>
    <w:p w:rsidR="00C12DBB" w:rsidRPr="00AA1ABE" w:rsidRDefault="00C12DBB" w:rsidP="00AA1ABE">
      <w:pPr>
        <w:spacing w:before="150" w:after="150" w:line="240" w:lineRule="auto"/>
        <w:textAlignment w:val="top"/>
        <w:rPr>
          <w:sz w:val="24"/>
          <w:szCs w:val="24"/>
        </w:rPr>
      </w:pPr>
      <w:r w:rsidRPr="00AA1ABE">
        <w:rPr>
          <w:sz w:val="24"/>
          <w:szCs w:val="24"/>
        </w:rPr>
        <w:t>ABRÃO MIGUEL ÁRABE NETO</w:t>
      </w:r>
    </w:p>
    <w:p w:rsidR="008D1098" w:rsidRPr="00AA1ABE" w:rsidRDefault="008D1098" w:rsidP="00AA1ABE">
      <w:pPr>
        <w:spacing w:before="150" w:after="150" w:line="240" w:lineRule="auto"/>
        <w:textAlignment w:val="top"/>
        <w:rPr>
          <w:sz w:val="24"/>
          <w:szCs w:val="24"/>
        </w:rPr>
      </w:pPr>
    </w:p>
    <w:p w:rsidR="00166A9D" w:rsidRPr="00166A9D" w:rsidRDefault="008D1098" w:rsidP="00166A9D">
      <w:pPr>
        <w:spacing w:before="150" w:after="150" w:line="240" w:lineRule="auto"/>
        <w:jc w:val="center"/>
        <w:textAlignment w:val="top"/>
        <w:rPr>
          <w:b/>
          <w:sz w:val="24"/>
          <w:szCs w:val="24"/>
        </w:rPr>
      </w:pPr>
      <w:r w:rsidRPr="00166A9D">
        <w:rPr>
          <w:b/>
          <w:sz w:val="24"/>
          <w:szCs w:val="24"/>
        </w:rPr>
        <w:t xml:space="preserve">CIRCULAR </w:t>
      </w:r>
      <w:r w:rsidR="00166A9D" w:rsidRPr="00166A9D">
        <w:rPr>
          <w:b/>
          <w:sz w:val="24"/>
          <w:szCs w:val="24"/>
        </w:rPr>
        <w:t xml:space="preserve">SECEX </w:t>
      </w:r>
      <w:r w:rsidRPr="00166A9D">
        <w:rPr>
          <w:b/>
          <w:sz w:val="24"/>
          <w:szCs w:val="24"/>
        </w:rPr>
        <w:t>No 60, DE 5 DE OUTUBRO DE 2016 (D.O.U. de 06/10/2016)</w:t>
      </w:r>
    </w:p>
    <w:p w:rsidR="00166A9D" w:rsidRDefault="00166A9D" w:rsidP="00AA1ABE">
      <w:pPr>
        <w:spacing w:before="150" w:after="150" w:line="240" w:lineRule="auto"/>
        <w:textAlignment w:val="top"/>
        <w:rPr>
          <w:sz w:val="24"/>
          <w:szCs w:val="24"/>
        </w:rPr>
      </w:pPr>
    </w:p>
    <w:p w:rsidR="00166A9D" w:rsidRDefault="008D1098" w:rsidP="00AA1ABE">
      <w:pPr>
        <w:spacing w:before="150" w:after="150" w:line="240" w:lineRule="auto"/>
        <w:textAlignment w:val="top"/>
        <w:rPr>
          <w:sz w:val="24"/>
          <w:szCs w:val="24"/>
        </w:rPr>
      </w:pPr>
      <w:r w:rsidRPr="00AA1ABE">
        <w:rPr>
          <w:sz w:val="24"/>
          <w:szCs w:val="24"/>
        </w:rPr>
        <w:t xml:space="preserve"> 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52272.001388/2016-35 e do Parecer no 45, 3 de outubro de 2016,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166A9D" w:rsidRDefault="008D1098" w:rsidP="00AA1ABE">
      <w:pPr>
        <w:spacing w:before="150" w:after="150" w:line="240" w:lineRule="auto"/>
        <w:textAlignment w:val="top"/>
        <w:rPr>
          <w:sz w:val="24"/>
          <w:szCs w:val="24"/>
        </w:rPr>
      </w:pPr>
      <w:r w:rsidRPr="00AA1ABE">
        <w:rPr>
          <w:sz w:val="24"/>
          <w:szCs w:val="24"/>
        </w:rPr>
        <w:t xml:space="preserve">1. Iniciar revisão do direito antidumping instituído pela Resolução CAMEX nº 76, de 5 de outubro de 2011, publicada no Diário Oficial da União (D.O.U.) de 6 de outubro de 2011, aplicado às importações brasileiras de </w:t>
      </w:r>
      <w:proofErr w:type="spellStart"/>
      <w:r w:rsidRPr="00AA1ABE">
        <w:rPr>
          <w:sz w:val="24"/>
          <w:szCs w:val="24"/>
        </w:rPr>
        <w:t>nbutanol</w:t>
      </w:r>
      <w:proofErr w:type="spellEnd"/>
      <w:r w:rsidRPr="00AA1ABE">
        <w:rPr>
          <w:sz w:val="24"/>
          <w:szCs w:val="24"/>
        </w:rPr>
        <w:t xml:space="preserve">, comumente classificadas no item 2905.13.00 da Nomenclatura Comum do MERCOSUL - NCM, originárias dos Estados Unidos da América. </w:t>
      </w:r>
    </w:p>
    <w:p w:rsidR="00166A9D" w:rsidRDefault="008D1098" w:rsidP="00AA1ABE">
      <w:pPr>
        <w:spacing w:before="150" w:after="150" w:line="240" w:lineRule="auto"/>
        <w:textAlignment w:val="top"/>
        <w:rPr>
          <w:sz w:val="24"/>
          <w:szCs w:val="24"/>
        </w:rPr>
      </w:pPr>
      <w:r w:rsidRPr="00AA1ABE">
        <w:rPr>
          <w:sz w:val="24"/>
          <w:szCs w:val="24"/>
        </w:rPr>
        <w:t xml:space="preserve">1.1. Tornar públicos os fatos que justificaram a decisão de início da revisão, conforme o anexo à presente circular. </w:t>
      </w:r>
    </w:p>
    <w:p w:rsidR="00166A9D" w:rsidRDefault="008D1098" w:rsidP="00AA1ABE">
      <w:pPr>
        <w:spacing w:before="150" w:after="150" w:line="240" w:lineRule="auto"/>
        <w:textAlignment w:val="top"/>
        <w:rPr>
          <w:sz w:val="24"/>
          <w:szCs w:val="24"/>
        </w:rPr>
      </w:pPr>
      <w:r w:rsidRPr="00AA1ABE">
        <w:rPr>
          <w:sz w:val="24"/>
          <w:szCs w:val="24"/>
        </w:rPr>
        <w:t xml:space="preserve">1.2. A data do início da revisão será a da publicação desta circular no Diário Oficial da União - D.O.U. </w:t>
      </w:r>
    </w:p>
    <w:p w:rsidR="00166A9D" w:rsidRDefault="008D1098" w:rsidP="00AA1ABE">
      <w:pPr>
        <w:spacing w:before="150" w:after="150" w:line="240" w:lineRule="auto"/>
        <w:textAlignment w:val="top"/>
        <w:rPr>
          <w:sz w:val="24"/>
          <w:szCs w:val="24"/>
        </w:rPr>
      </w:pPr>
      <w:r w:rsidRPr="00AA1ABE">
        <w:rPr>
          <w:sz w:val="24"/>
          <w:szCs w:val="24"/>
        </w:rPr>
        <w:t xml:space="preserve">2.A análise da probabilidade de continuação ou retomada do dumping que antecedeu o início da revisão considerou o período de janeiro a dezembro de 2015. Já a análise da probabilidade de continuação ou retomada do dano que antecedeu o início da revisão considerou o período de janeiro de 2011 a dezembro de 2015. </w:t>
      </w:r>
    </w:p>
    <w:p w:rsidR="00166A9D" w:rsidRDefault="008D1098" w:rsidP="00AA1ABE">
      <w:pPr>
        <w:spacing w:before="150" w:after="150" w:line="240" w:lineRule="auto"/>
        <w:textAlignment w:val="top"/>
        <w:rPr>
          <w:sz w:val="24"/>
          <w:szCs w:val="24"/>
        </w:rPr>
      </w:pPr>
      <w:r w:rsidRPr="00AA1ABE">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166A9D" w:rsidRPr="00B52571">
          <w:rPr>
            <w:rStyle w:val="Hyperlink"/>
            <w:sz w:val="24"/>
            <w:szCs w:val="24"/>
          </w:rPr>
          <w:t>http://decomdigital.mdic.gov.br</w:t>
        </w:r>
      </w:hyperlink>
      <w:r w:rsidRPr="00AA1ABE">
        <w:rPr>
          <w:sz w:val="24"/>
          <w:szCs w:val="24"/>
        </w:rPr>
        <w:t xml:space="preserve">. </w:t>
      </w:r>
    </w:p>
    <w:p w:rsidR="00166A9D" w:rsidRDefault="008D1098" w:rsidP="00AA1ABE">
      <w:pPr>
        <w:spacing w:before="150" w:after="150" w:line="240" w:lineRule="auto"/>
        <w:textAlignment w:val="top"/>
        <w:rPr>
          <w:sz w:val="24"/>
          <w:szCs w:val="24"/>
        </w:rPr>
      </w:pPr>
      <w:r w:rsidRPr="00AA1ABE">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166A9D" w:rsidRDefault="008D1098" w:rsidP="00AA1ABE">
      <w:pPr>
        <w:spacing w:before="150" w:after="150" w:line="240" w:lineRule="auto"/>
        <w:textAlignment w:val="top"/>
        <w:rPr>
          <w:sz w:val="24"/>
          <w:szCs w:val="24"/>
        </w:rPr>
      </w:pPr>
      <w:r w:rsidRPr="00AA1ABE">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w:t>
      </w:r>
      <w:proofErr w:type="gramStart"/>
      <w:r w:rsidRPr="00AA1ABE">
        <w:rPr>
          <w:sz w:val="24"/>
          <w:szCs w:val="24"/>
        </w:rPr>
        <w:t>este parágrafo sejam</w:t>
      </w:r>
      <w:proofErr w:type="gramEnd"/>
      <w:r w:rsidRPr="00AA1ABE">
        <w:rPr>
          <w:sz w:val="24"/>
          <w:szCs w:val="24"/>
        </w:rPr>
        <w:t xml:space="preserve"> havidos por inexistentes. </w:t>
      </w:r>
    </w:p>
    <w:p w:rsidR="00166A9D" w:rsidRDefault="008D1098" w:rsidP="00AA1ABE">
      <w:pPr>
        <w:spacing w:before="150" w:after="150" w:line="240" w:lineRule="auto"/>
        <w:textAlignment w:val="top"/>
        <w:rPr>
          <w:sz w:val="24"/>
          <w:szCs w:val="24"/>
        </w:rPr>
      </w:pPr>
      <w:r w:rsidRPr="00AA1ABE">
        <w:rPr>
          <w:sz w:val="24"/>
          <w:szCs w:val="24"/>
        </w:rPr>
        <w:lastRenderedPageBreak/>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DD00EC" w:rsidRDefault="008D1098" w:rsidP="00AA1ABE">
      <w:pPr>
        <w:spacing w:before="150" w:after="150" w:line="240" w:lineRule="auto"/>
        <w:textAlignment w:val="top"/>
        <w:rPr>
          <w:sz w:val="24"/>
          <w:szCs w:val="24"/>
        </w:rPr>
      </w:pPr>
      <w:r w:rsidRPr="00AA1ABE">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DD00EC" w:rsidRDefault="008D1098" w:rsidP="00AA1ABE">
      <w:pPr>
        <w:spacing w:before="150" w:after="150" w:line="240" w:lineRule="auto"/>
        <w:textAlignment w:val="top"/>
        <w:rPr>
          <w:sz w:val="24"/>
          <w:szCs w:val="24"/>
        </w:rPr>
      </w:pPr>
      <w:r w:rsidRPr="00AA1ABE">
        <w:rPr>
          <w:sz w:val="24"/>
          <w:szCs w:val="24"/>
        </w:rPr>
        <w:t xml:space="preserve">8. Em virtude do grande número de produtores/exportadores dos Estados Unidos da América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DD00EC" w:rsidRDefault="008D1098" w:rsidP="00AA1ABE">
      <w:pPr>
        <w:spacing w:before="150" w:after="150" w:line="240" w:lineRule="auto"/>
        <w:textAlignment w:val="top"/>
        <w:rPr>
          <w:sz w:val="24"/>
          <w:szCs w:val="24"/>
        </w:rPr>
      </w:pPr>
      <w:r w:rsidRPr="00AA1ABE">
        <w:rPr>
          <w:sz w:val="24"/>
          <w:szCs w:val="24"/>
        </w:rPr>
        <w:t xml:space="preserve">9. De acordo com o previsto nos </w:t>
      </w:r>
      <w:proofErr w:type="spellStart"/>
      <w:r w:rsidRPr="00AA1ABE">
        <w:rPr>
          <w:sz w:val="24"/>
          <w:szCs w:val="24"/>
        </w:rPr>
        <w:t>arts</w:t>
      </w:r>
      <w:proofErr w:type="spellEnd"/>
      <w:r w:rsidRPr="00AA1ABE">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DD00EC" w:rsidRDefault="008D1098" w:rsidP="00AA1ABE">
      <w:pPr>
        <w:spacing w:before="150" w:after="150" w:line="240" w:lineRule="auto"/>
        <w:textAlignment w:val="top"/>
        <w:rPr>
          <w:sz w:val="24"/>
          <w:szCs w:val="24"/>
        </w:rPr>
      </w:pPr>
      <w:r w:rsidRPr="00AA1ABE">
        <w:rPr>
          <w:sz w:val="24"/>
          <w:szCs w:val="24"/>
        </w:rPr>
        <w:t xml:space="preserve">10. Na forma do que dispõem o § 3o do art. 50 e o parágrafo único do art. 179 do Decreto n 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DD00EC" w:rsidRDefault="008D1098" w:rsidP="00AA1ABE">
      <w:pPr>
        <w:spacing w:before="150" w:after="150" w:line="240" w:lineRule="auto"/>
        <w:textAlignment w:val="top"/>
        <w:rPr>
          <w:sz w:val="24"/>
          <w:szCs w:val="24"/>
        </w:rPr>
      </w:pPr>
      <w:r w:rsidRPr="00AA1ABE">
        <w:rPr>
          <w:sz w:val="24"/>
          <w:szCs w:val="24"/>
        </w:rPr>
        <w:t xml:space="preserve">11. Caso se verifique que uma parte interessada prestou informações falsas ou errôneas, tais informações não serão consideradas e poderão ser utilizados os fatos disponíveis. </w:t>
      </w:r>
    </w:p>
    <w:p w:rsidR="00DD00EC" w:rsidRDefault="008D1098" w:rsidP="00AA1ABE">
      <w:pPr>
        <w:spacing w:before="150" w:after="150" w:line="240" w:lineRule="auto"/>
        <w:textAlignment w:val="top"/>
        <w:rPr>
          <w:sz w:val="24"/>
          <w:szCs w:val="24"/>
        </w:rPr>
      </w:pPr>
      <w:r w:rsidRPr="00AA1ABE">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DD00EC" w:rsidRDefault="008D1098" w:rsidP="00AA1ABE">
      <w:pPr>
        <w:spacing w:before="150" w:after="150" w:line="240" w:lineRule="auto"/>
        <w:textAlignment w:val="top"/>
        <w:rPr>
          <w:sz w:val="24"/>
          <w:szCs w:val="24"/>
        </w:rPr>
      </w:pPr>
      <w:r w:rsidRPr="00AA1ABE">
        <w:rPr>
          <w:sz w:val="24"/>
          <w:szCs w:val="24"/>
        </w:rPr>
        <w:t xml:space="preserve">13. De acordo com o contido no § 2º do art. 112 do Decreto no 8.058, de 2013, as medidas antidumping de que trata a Resolução CAMEX nº 76, de 2011, permanecerão em vigor, no curso desta revisão. 14. Esclarecimentos adicionais podem ser obtidos pelo telefone +55 61 2027-9364/9352 ou pelo endereço eletrônico nbutanolrev@mdic.gov.br. ABRÃO MIGUEL ÁRABE NETO </w:t>
      </w:r>
    </w:p>
    <w:p w:rsidR="00DD00EC" w:rsidRDefault="00DD00EC" w:rsidP="00AA1ABE">
      <w:pPr>
        <w:spacing w:before="150" w:after="150" w:line="240" w:lineRule="auto"/>
        <w:textAlignment w:val="top"/>
        <w:rPr>
          <w:sz w:val="24"/>
          <w:szCs w:val="24"/>
        </w:rPr>
      </w:pPr>
    </w:p>
    <w:p w:rsidR="0056788C" w:rsidRPr="00AA1ABE" w:rsidRDefault="0056788C" w:rsidP="00AA1ABE">
      <w:pPr>
        <w:spacing w:before="150" w:after="150" w:line="240" w:lineRule="auto"/>
        <w:textAlignment w:val="top"/>
        <w:rPr>
          <w:sz w:val="24"/>
          <w:szCs w:val="24"/>
        </w:rPr>
      </w:pPr>
    </w:p>
    <w:p w:rsidR="00680E87" w:rsidRPr="00680E87" w:rsidRDefault="0056788C" w:rsidP="00680E87">
      <w:pPr>
        <w:spacing w:before="150" w:after="150" w:line="240" w:lineRule="auto"/>
        <w:jc w:val="center"/>
        <w:textAlignment w:val="top"/>
        <w:rPr>
          <w:b/>
          <w:sz w:val="24"/>
          <w:szCs w:val="24"/>
        </w:rPr>
      </w:pPr>
      <w:r w:rsidRPr="00680E87">
        <w:rPr>
          <w:b/>
          <w:sz w:val="24"/>
          <w:szCs w:val="24"/>
        </w:rPr>
        <w:t xml:space="preserve">CIRCULAR </w:t>
      </w:r>
      <w:r w:rsidR="00680E87" w:rsidRPr="00680E87">
        <w:rPr>
          <w:b/>
          <w:sz w:val="24"/>
          <w:szCs w:val="24"/>
        </w:rPr>
        <w:t xml:space="preserve">SECEX </w:t>
      </w:r>
      <w:r w:rsidRPr="00680E87">
        <w:rPr>
          <w:b/>
          <w:sz w:val="24"/>
          <w:szCs w:val="24"/>
        </w:rPr>
        <w:t>No 61, DE 7 DE OUTUBRO DE 2016 (D.O.U. de 10/10/2016)</w:t>
      </w:r>
    </w:p>
    <w:p w:rsidR="00680E87" w:rsidRDefault="00680E87" w:rsidP="00AA1ABE">
      <w:pPr>
        <w:spacing w:before="150" w:after="150" w:line="240" w:lineRule="auto"/>
        <w:textAlignment w:val="top"/>
        <w:rPr>
          <w:sz w:val="24"/>
          <w:szCs w:val="24"/>
        </w:rPr>
      </w:pPr>
    </w:p>
    <w:p w:rsidR="00680E87" w:rsidRDefault="0056788C" w:rsidP="00AA1ABE">
      <w:pPr>
        <w:spacing w:before="150" w:after="150" w:line="240" w:lineRule="auto"/>
        <w:textAlignment w:val="top"/>
        <w:rPr>
          <w:sz w:val="24"/>
          <w:szCs w:val="24"/>
        </w:rPr>
      </w:pPr>
      <w:r w:rsidRPr="00AA1ABE">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52272.001378/2016-08 e do Parecer no 46, de 6 de outubro de 2016,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680E87" w:rsidRDefault="0056788C" w:rsidP="00AA1ABE">
      <w:pPr>
        <w:spacing w:before="150" w:after="150" w:line="240" w:lineRule="auto"/>
        <w:textAlignment w:val="top"/>
        <w:rPr>
          <w:sz w:val="24"/>
          <w:szCs w:val="24"/>
        </w:rPr>
      </w:pPr>
      <w:r w:rsidRPr="00AA1ABE">
        <w:rPr>
          <w:sz w:val="24"/>
          <w:szCs w:val="24"/>
        </w:rPr>
        <w:t xml:space="preserve">1. Iniciar revisão do direito antidumping instituído pela Resolução CAMEX nº 71, de 20 de setembro de 2011, publicada no Diário Oficial da União (D.O.U.) de 21 de setembro de 2011, aplicado às importações brasileiras de fosfato </w:t>
      </w:r>
      <w:proofErr w:type="spellStart"/>
      <w:r w:rsidRPr="00AA1ABE">
        <w:rPr>
          <w:sz w:val="24"/>
          <w:szCs w:val="24"/>
        </w:rPr>
        <w:t>monocálcico</w:t>
      </w:r>
      <w:proofErr w:type="spellEnd"/>
      <w:r w:rsidRPr="00AA1ABE">
        <w:rPr>
          <w:sz w:val="24"/>
          <w:szCs w:val="24"/>
        </w:rPr>
        <w:t xml:space="preserve"> </w:t>
      </w:r>
      <w:proofErr w:type="spellStart"/>
      <w:r w:rsidRPr="00AA1ABE">
        <w:rPr>
          <w:sz w:val="24"/>
          <w:szCs w:val="24"/>
        </w:rPr>
        <w:t>mono-hidratado</w:t>
      </w:r>
      <w:proofErr w:type="spellEnd"/>
      <w:r w:rsidRPr="00AA1ABE">
        <w:rPr>
          <w:sz w:val="24"/>
          <w:szCs w:val="24"/>
        </w:rPr>
        <w:t xml:space="preserve"> grau alimentício - MCP, comumente classificadas no item 2835.26.00 da Nomenclatura Comum do MERCOSUL - NCM, originárias da Argentina. </w:t>
      </w:r>
    </w:p>
    <w:p w:rsidR="00680E87" w:rsidRDefault="0056788C" w:rsidP="00AA1ABE">
      <w:pPr>
        <w:spacing w:before="150" w:after="150" w:line="240" w:lineRule="auto"/>
        <w:textAlignment w:val="top"/>
        <w:rPr>
          <w:sz w:val="24"/>
          <w:szCs w:val="24"/>
        </w:rPr>
      </w:pPr>
      <w:r w:rsidRPr="00AA1ABE">
        <w:rPr>
          <w:sz w:val="24"/>
          <w:szCs w:val="24"/>
        </w:rPr>
        <w:t xml:space="preserve">1.1. Tornar públicos os fatos que justificaram a decisão de início da revisão, conforme o anexo à presente circular. </w:t>
      </w:r>
    </w:p>
    <w:p w:rsidR="00680E87" w:rsidRDefault="0056788C" w:rsidP="00AA1ABE">
      <w:pPr>
        <w:spacing w:before="150" w:after="150" w:line="240" w:lineRule="auto"/>
        <w:textAlignment w:val="top"/>
        <w:rPr>
          <w:sz w:val="24"/>
          <w:szCs w:val="24"/>
        </w:rPr>
      </w:pPr>
      <w:r w:rsidRPr="00AA1ABE">
        <w:rPr>
          <w:sz w:val="24"/>
          <w:szCs w:val="24"/>
        </w:rPr>
        <w:t xml:space="preserve">1.2. A data do início da revisão será a da publicação desta circular no Diário Oficial da União - D.O.U. </w:t>
      </w:r>
    </w:p>
    <w:p w:rsidR="00680E87" w:rsidRDefault="0056788C" w:rsidP="00AA1ABE">
      <w:pPr>
        <w:spacing w:before="150" w:after="150" w:line="240" w:lineRule="auto"/>
        <w:textAlignment w:val="top"/>
        <w:rPr>
          <w:sz w:val="24"/>
          <w:szCs w:val="24"/>
        </w:rPr>
      </w:pPr>
      <w:r w:rsidRPr="00AA1ABE">
        <w:rPr>
          <w:sz w:val="24"/>
          <w:szCs w:val="24"/>
        </w:rPr>
        <w:t xml:space="preserve">2. A análise da probabilidade de continuação ou retomada do dumping que antecedeu o início da revisão considerou o período de janeiro a dezembro de 2015. Já a análise da probabilidade de continuação ou retomada do dano que antecedeu o início da revisão considerou o período de janeiro de 2011 a dezembro de 2015. </w:t>
      </w:r>
    </w:p>
    <w:p w:rsidR="00680E87" w:rsidRDefault="0056788C" w:rsidP="00AA1ABE">
      <w:pPr>
        <w:spacing w:before="150" w:after="150" w:line="240" w:lineRule="auto"/>
        <w:textAlignment w:val="top"/>
        <w:rPr>
          <w:sz w:val="24"/>
          <w:szCs w:val="24"/>
        </w:rPr>
      </w:pPr>
      <w:r w:rsidRPr="00AA1ABE">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7" w:history="1">
        <w:r w:rsidR="00680E87" w:rsidRPr="00B52571">
          <w:rPr>
            <w:rStyle w:val="Hyperlink"/>
            <w:sz w:val="24"/>
            <w:szCs w:val="24"/>
          </w:rPr>
          <w:t>http://decomdigital.mdic.gov.br</w:t>
        </w:r>
      </w:hyperlink>
      <w:r w:rsidRPr="00AA1ABE">
        <w:rPr>
          <w:sz w:val="24"/>
          <w:szCs w:val="24"/>
        </w:rPr>
        <w:t xml:space="preserve">. </w:t>
      </w:r>
    </w:p>
    <w:p w:rsidR="00680E87" w:rsidRDefault="0056788C" w:rsidP="00AA1ABE">
      <w:pPr>
        <w:spacing w:before="150" w:after="150" w:line="240" w:lineRule="auto"/>
        <w:textAlignment w:val="top"/>
        <w:rPr>
          <w:sz w:val="24"/>
          <w:szCs w:val="24"/>
        </w:rPr>
      </w:pPr>
      <w:r w:rsidRPr="00AA1ABE">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680E87" w:rsidRDefault="0056788C" w:rsidP="00AA1ABE">
      <w:pPr>
        <w:spacing w:before="150" w:after="150" w:line="240" w:lineRule="auto"/>
        <w:textAlignment w:val="top"/>
        <w:rPr>
          <w:sz w:val="24"/>
          <w:szCs w:val="24"/>
        </w:rPr>
      </w:pPr>
      <w:r w:rsidRPr="00AA1ABE">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w:t>
      </w:r>
      <w:r w:rsidRPr="00AA1ABE">
        <w:rPr>
          <w:sz w:val="24"/>
          <w:szCs w:val="24"/>
        </w:rPr>
        <w:lastRenderedPageBreak/>
        <w:t xml:space="preserve">feita em até 91 dias após o início da revisão, sem possibilidade de prorrogação. A ausência de regularização da representação nos prazos e condições previstos fará com que os atos a que fazem referência </w:t>
      </w:r>
      <w:proofErr w:type="gramStart"/>
      <w:r w:rsidRPr="00AA1ABE">
        <w:rPr>
          <w:sz w:val="24"/>
          <w:szCs w:val="24"/>
        </w:rPr>
        <w:t>este parágrafo sejam</w:t>
      </w:r>
      <w:proofErr w:type="gramEnd"/>
      <w:r w:rsidRPr="00AA1ABE">
        <w:rPr>
          <w:sz w:val="24"/>
          <w:szCs w:val="24"/>
        </w:rPr>
        <w:t xml:space="preserve"> havidos por inexistentes. </w:t>
      </w:r>
    </w:p>
    <w:p w:rsidR="00680E87" w:rsidRDefault="0056788C" w:rsidP="00AA1ABE">
      <w:pPr>
        <w:spacing w:before="150" w:after="150" w:line="240" w:lineRule="auto"/>
        <w:textAlignment w:val="top"/>
        <w:rPr>
          <w:sz w:val="24"/>
          <w:szCs w:val="24"/>
        </w:rPr>
      </w:pPr>
      <w:r w:rsidRPr="00AA1ABE">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80E87" w:rsidRDefault="0056788C" w:rsidP="00AA1ABE">
      <w:pPr>
        <w:spacing w:before="150" w:after="150" w:line="240" w:lineRule="auto"/>
        <w:textAlignment w:val="top"/>
        <w:rPr>
          <w:sz w:val="24"/>
          <w:szCs w:val="24"/>
        </w:rPr>
      </w:pPr>
      <w:r w:rsidRPr="00AA1ABE">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680E87" w:rsidRDefault="0056788C" w:rsidP="00AA1ABE">
      <w:pPr>
        <w:spacing w:before="150" w:after="150" w:line="240" w:lineRule="auto"/>
        <w:textAlignment w:val="top"/>
        <w:rPr>
          <w:sz w:val="24"/>
          <w:szCs w:val="24"/>
        </w:rPr>
      </w:pPr>
      <w:r w:rsidRPr="00AA1ABE">
        <w:rPr>
          <w:sz w:val="24"/>
          <w:szCs w:val="24"/>
        </w:rPr>
        <w:t xml:space="preserve">8. De acordo com o previsto nos </w:t>
      </w:r>
      <w:proofErr w:type="spellStart"/>
      <w:r w:rsidRPr="00AA1ABE">
        <w:rPr>
          <w:sz w:val="24"/>
          <w:szCs w:val="24"/>
        </w:rPr>
        <w:t>arts</w:t>
      </w:r>
      <w:proofErr w:type="spellEnd"/>
      <w:r w:rsidRPr="00AA1ABE">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80E87" w:rsidRDefault="0056788C" w:rsidP="00AA1ABE">
      <w:pPr>
        <w:spacing w:before="150" w:after="150" w:line="240" w:lineRule="auto"/>
        <w:textAlignment w:val="top"/>
        <w:rPr>
          <w:sz w:val="24"/>
          <w:szCs w:val="24"/>
        </w:rPr>
      </w:pPr>
      <w:r w:rsidRPr="00AA1ABE">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680E87" w:rsidRDefault="0056788C" w:rsidP="00AA1ABE">
      <w:pPr>
        <w:spacing w:before="150" w:after="150" w:line="240" w:lineRule="auto"/>
        <w:textAlignment w:val="top"/>
        <w:rPr>
          <w:sz w:val="24"/>
          <w:szCs w:val="24"/>
        </w:rPr>
      </w:pPr>
      <w:r w:rsidRPr="00AA1ABE">
        <w:rPr>
          <w:sz w:val="24"/>
          <w:szCs w:val="24"/>
        </w:rPr>
        <w:t xml:space="preserve">10. Caso se verifique que uma parte interessada prestou informações falsas ou errôneas, tais informações não serão consideradas e poderão ser utilizados os fatos disponíveis. </w:t>
      </w:r>
    </w:p>
    <w:p w:rsidR="00680E87" w:rsidRDefault="0056788C" w:rsidP="00AA1ABE">
      <w:pPr>
        <w:spacing w:before="150" w:after="150" w:line="240" w:lineRule="auto"/>
        <w:textAlignment w:val="top"/>
        <w:rPr>
          <w:sz w:val="24"/>
          <w:szCs w:val="24"/>
        </w:rPr>
      </w:pPr>
      <w:r w:rsidRPr="00AA1ABE">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680E87" w:rsidRDefault="0056788C" w:rsidP="00AA1ABE">
      <w:pPr>
        <w:spacing w:before="150" w:after="150" w:line="240" w:lineRule="auto"/>
        <w:textAlignment w:val="top"/>
        <w:rPr>
          <w:sz w:val="24"/>
          <w:szCs w:val="24"/>
        </w:rPr>
      </w:pPr>
      <w:r w:rsidRPr="00AA1ABE">
        <w:rPr>
          <w:sz w:val="24"/>
          <w:szCs w:val="24"/>
        </w:rPr>
        <w:t xml:space="preserve">12. De acordo com o contido no § 2º do art. 112 do Decreto no 8.058, de 2013, as medidas antidumping de que trata a Resolução CAMEX nº 71, de 2011, permanecerão em vigor, no curso desta revisão. </w:t>
      </w:r>
    </w:p>
    <w:p w:rsidR="00680E87" w:rsidRDefault="0056788C" w:rsidP="00AA1ABE">
      <w:pPr>
        <w:spacing w:before="150" w:after="150" w:line="240" w:lineRule="auto"/>
        <w:textAlignment w:val="top"/>
        <w:rPr>
          <w:sz w:val="24"/>
          <w:szCs w:val="24"/>
        </w:rPr>
      </w:pPr>
      <w:r w:rsidRPr="00AA1ABE">
        <w:rPr>
          <w:sz w:val="24"/>
          <w:szCs w:val="24"/>
        </w:rPr>
        <w:t xml:space="preserve">13. Esclarecimentos adicionais podem ser obtidos pelo telefone +55 61 2027-9298/7357 ou pelo correio eletrônico mcp@mdic.gov.br. ABRÃO MIGUEL ÁRABE NETO </w:t>
      </w:r>
    </w:p>
    <w:p w:rsidR="00680E87" w:rsidRDefault="00680E87" w:rsidP="00AA1ABE">
      <w:pPr>
        <w:spacing w:before="150" w:after="150" w:line="240" w:lineRule="auto"/>
        <w:textAlignment w:val="top"/>
        <w:rPr>
          <w:sz w:val="24"/>
          <w:szCs w:val="24"/>
        </w:rPr>
      </w:pPr>
    </w:p>
    <w:p w:rsidR="00680E87" w:rsidRDefault="00680E87" w:rsidP="00AA1ABE">
      <w:pPr>
        <w:shd w:val="clear" w:color="auto" w:fill="FFFFFF"/>
        <w:spacing w:after="0" w:line="240" w:lineRule="auto"/>
        <w:rPr>
          <w:sz w:val="24"/>
          <w:szCs w:val="24"/>
        </w:rPr>
      </w:pPr>
    </w:p>
    <w:p w:rsidR="00680E87" w:rsidRDefault="00680E87" w:rsidP="00AA1ABE">
      <w:pPr>
        <w:shd w:val="clear" w:color="auto" w:fill="FFFFFF"/>
        <w:spacing w:after="0" w:line="240" w:lineRule="auto"/>
        <w:rPr>
          <w:sz w:val="24"/>
          <w:szCs w:val="24"/>
        </w:rPr>
      </w:pPr>
    </w:p>
    <w:p w:rsidR="0063156C" w:rsidRPr="0063156C" w:rsidRDefault="0056788C" w:rsidP="0063156C">
      <w:pPr>
        <w:shd w:val="clear" w:color="auto" w:fill="FFFFFF"/>
        <w:spacing w:after="0" w:line="240" w:lineRule="auto"/>
        <w:jc w:val="center"/>
        <w:rPr>
          <w:b/>
          <w:sz w:val="24"/>
          <w:szCs w:val="24"/>
        </w:rPr>
      </w:pPr>
      <w:r w:rsidRPr="0063156C">
        <w:rPr>
          <w:b/>
          <w:sz w:val="24"/>
          <w:szCs w:val="24"/>
        </w:rPr>
        <w:t xml:space="preserve">CIRCULAR </w:t>
      </w:r>
      <w:r w:rsidR="0063156C" w:rsidRPr="0063156C">
        <w:rPr>
          <w:b/>
          <w:sz w:val="24"/>
          <w:szCs w:val="24"/>
        </w:rPr>
        <w:t xml:space="preserve">SECEX </w:t>
      </w:r>
      <w:r w:rsidRPr="0063156C">
        <w:rPr>
          <w:b/>
          <w:sz w:val="24"/>
          <w:szCs w:val="24"/>
        </w:rPr>
        <w:t>No 62, DE 7 DE OUTUBRO DE 2016 (D.O.U. de 10/10/2016)</w:t>
      </w:r>
    </w:p>
    <w:p w:rsidR="0063156C" w:rsidRDefault="0063156C" w:rsidP="00AA1ABE">
      <w:pPr>
        <w:shd w:val="clear" w:color="auto" w:fill="FFFFFF"/>
        <w:spacing w:after="0" w:line="240" w:lineRule="auto"/>
        <w:rPr>
          <w:sz w:val="24"/>
          <w:szCs w:val="24"/>
        </w:rPr>
      </w:pPr>
    </w:p>
    <w:p w:rsidR="00CF5B74" w:rsidRDefault="0056788C" w:rsidP="00AA1ABE">
      <w:pPr>
        <w:shd w:val="clear" w:color="auto" w:fill="FFFFFF"/>
        <w:spacing w:after="0" w:line="240" w:lineRule="auto"/>
        <w:rPr>
          <w:sz w:val="24"/>
          <w:szCs w:val="24"/>
        </w:rPr>
      </w:pPr>
      <w:r w:rsidRPr="00AA1ABE">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AA1ABE">
        <w:rPr>
          <w:sz w:val="24"/>
          <w:szCs w:val="24"/>
        </w:rPr>
        <w:t>arts</w:t>
      </w:r>
      <w:proofErr w:type="spellEnd"/>
      <w:r w:rsidRPr="00AA1ABE">
        <w:rPr>
          <w:sz w:val="24"/>
          <w:szCs w:val="24"/>
        </w:rPr>
        <w:t>. 5 o e 72, e tendo em vista o constante no Processo MDIC/SECEX 52272.001753/2015-21, decide prorrogar por até oito meses, a partir de 21 de outubro de 2016, o prazo para conclusão da investigação de prática de dumping, de dano à indústria doméstica e de relação causal entre esses, nas exportações para o Brasil de barras chatas de aço ligado, usualmente classificadas no item 7228.30.00 da Nomenclatura Comum do Mercosul - NCM, originárias da República Popular da China, iniciada por intermédio da Circular SECEX no 82, de 18 de dezembro de 2015, publicada no Diário Oficial da União - D.O.U. de 21 de dezembro de 2015. ABRÃO MIGUEL ÁRABE NETO</w:t>
      </w:r>
    </w:p>
    <w:p w:rsidR="0063156C" w:rsidRPr="00AA1ABE" w:rsidRDefault="0063156C" w:rsidP="00AA1ABE">
      <w:pPr>
        <w:shd w:val="clear" w:color="auto" w:fill="FFFFFF"/>
        <w:spacing w:after="0" w:line="240" w:lineRule="auto"/>
        <w:rPr>
          <w:sz w:val="24"/>
          <w:szCs w:val="24"/>
        </w:rPr>
      </w:pPr>
    </w:p>
    <w:p w:rsidR="00C53344" w:rsidRPr="00AA1ABE" w:rsidRDefault="00C53344" w:rsidP="00AA1ABE">
      <w:pPr>
        <w:shd w:val="clear" w:color="auto" w:fill="FFFFFF"/>
        <w:spacing w:after="0" w:line="240" w:lineRule="auto"/>
        <w:rPr>
          <w:sz w:val="24"/>
          <w:szCs w:val="24"/>
        </w:rPr>
      </w:pPr>
    </w:p>
    <w:p w:rsidR="0063156C" w:rsidRDefault="0063156C" w:rsidP="00AA1ABE">
      <w:pPr>
        <w:spacing w:after="0" w:line="240" w:lineRule="auto"/>
        <w:textAlignment w:val="top"/>
        <w:rPr>
          <w:rFonts w:eastAsia="Times New Roman" w:cs="Times New Roman"/>
          <w:color w:val="000000"/>
          <w:sz w:val="24"/>
          <w:szCs w:val="24"/>
          <w:lang w:eastAsia="pt-BR"/>
        </w:rPr>
      </w:pPr>
    </w:p>
    <w:p w:rsidR="00C53344" w:rsidRPr="004811E8" w:rsidRDefault="00C53344" w:rsidP="004811E8">
      <w:pPr>
        <w:spacing w:after="0" w:line="240" w:lineRule="auto"/>
        <w:jc w:val="center"/>
        <w:textAlignment w:val="top"/>
        <w:rPr>
          <w:rFonts w:eastAsia="Times New Roman" w:cs="Times New Roman"/>
          <w:b/>
          <w:color w:val="000000"/>
          <w:sz w:val="24"/>
          <w:szCs w:val="24"/>
          <w:lang w:eastAsia="pt-BR"/>
        </w:rPr>
      </w:pPr>
      <w:r w:rsidRPr="004811E8">
        <w:rPr>
          <w:rFonts w:eastAsia="Times New Roman" w:cs="Times New Roman"/>
          <w:b/>
          <w:color w:val="000000"/>
          <w:sz w:val="24"/>
          <w:szCs w:val="24"/>
          <w:lang w:eastAsia="pt-BR"/>
        </w:rPr>
        <w:t>RESOLUÇÃO</w:t>
      </w:r>
      <w:r w:rsidR="004811E8" w:rsidRPr="004811E8">
        <w:rPr>
          <w:rFonts w:eastAsia="Times New Roman" w:cs="Times New Roman"/>
          <w:b/>
          <w:color w:val="000000"/>
          <w:sz w:val="24"/>
          <w:szCs w:val="24"/>
          <w:lang w:eastAsia="pt-BR"/>
        </w:rPr>
        <w:t xml:space="preserve"> CAMEX</w:t>
      </w:r>
      <w:r w:rsidR="004811E8">
        <w:rPr>
          <w:rFonts w:eastAsia="Times New Roman" w:cs="Times New Roman"/>
          <w:b/>
          <w:color w:val="000000"/>
          <w:sz w:val="24"/>
          <w:szCs w:val="24"/>
          <w:lang w:eastAsia="pt-BR"/>
        </w:rPr>
        <w:t xml:space="preserve">  </w:t>
      </w:r>
      <w:r w:rsidRPr="004811E8">
        <w:rPr>
          <w:rFonts w:eastAsia="Times New Roman" w:cs="Times New Roman"/>
          <w:b/>
          <w:color w:val="000000"/>
          <w:sz w:val="24"/>
          <w:szCs w:val="24"/>
          <w:lang w:eastAsia="pt-BR"/>
        </w:rPr>
        <w:t>96, DE 10 DE OUTUBRO DE 2016</w:t>
      </w:r>
      <w:r w:rsidRPr="004811E8">
        <w:rPr>
          <w:rFonts w:eastAsia="Times New Roman" w:cs="Times New Roman"/>
          <w:b/>
          <w:color w:val="000000"/>
          <w:sz w:val="24"/>
          <w:szCs w:val="24"/>
          <w:lang w:eastAsia="pt-BR"/>
        </w:rPr>
        <w:br/>
        <w:t>(</w:t>
      </w:r>
      <w:r w:rsidR="004811E8">
        <w:rPr>
          <w:rFonts w:eastAsia="Times New Roman" w:cs="Times New Roman"/>
          <w:b/>
          <w:color w:val="000000"/>
          <w:sz w:val="24"/>
          <w:szCs w:val="24"/>
          <w:lang w:eastAsia="pt-BR"/>
        </w:rPr>
        <w:t xml:space="preserve">DOU </w:t>
      </w:r>
      <w:r w:rsidRPr="004811E8">
        <w:rPr>
          <w:rFonts w:eastAsia="Times New Roman" w:cs="Times New Roman"/>
          <w:b/>
          <w:color w:val="000000"/>
          <w:sz w:val="24"/>
          <w:szCs w:val="24"/>
          <w:lang w:eastAsia="pt-BR"/>
        </w:rPr>
        <w:t>11/10/2016)</w:t>
      </w:r>
    </w:p>
    <w:p w:rsidR="00C53344"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br/>
        <w:t>Prorroga a suspensão, pelo prazo de um ano, da cobrança do direito antidumping aplicado às importações brasileiras de borracha de estireno-</w:t>
      </w:r>
      <w:proofErr w:type="spellStart"/>
      <w:r w:rsidRPr="00AA1ABE">
        <w:rPr>
          <w:rFonts w:eastAsia="Times New Roman" w:cs="Times New Roman"/>
          <w:color w:val="000000"/>
          <w:sz w:val="24"/>
          <w:szCs w:val="24"/>
          <w:lang w:eastAsia="pt-BR"/>
        </w:rPr>
        <w:t>butadieno</w:t>
      </w:r>
      <w:proofErr w:type="spellEnd"/>
      <w:r w:rsidRPr="00AA1ABE">
        <w:rPr>
          <w:rFonts w:eastAsia="Times New Roman" w:cs="Times New Roman"/>
          <w:color w:val="000000"/>
          <w:sz w:val="24"/>
          <w:szCs w:val="24"/>
          <w:lang w:eastAsia="pt-BR"/>
        </w:rPr>
        <w:t xml:space="preserve"> polimerizada em emulsão a frio (E-SBR), originárias da União Europeia, de que trata a Resolução CAMEX n</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110, de 19 de novembro de 2015.</w:t>
      </w:r>
    </w:p>
    <w:p w:rsidR="004811E8" w:rsidRPr="00AA1ABE" w:rsidRDefault="004811E8" w:rsidP="00AA1ABE">
      <w:pPr>
        <w:spacing w:after="0" w:line="240" w:lineRule="auto"/>
        <w:textAlignment w:val="top"/>
        <w:rPr>
          <w:rFonts w:eastAsia="Times New Roman" w:cs="Times New Roman"/>
          <w:color w:val="000000"/>
          <w:sz w:val="24"/>
          <w:szCs w:val="24"/>
          <w:lang w:eastAsia="pt-BR"/>
        </w:rPr>
      </w:pP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b/>
          <w:bCs/>
          <w:color w:val="000000"/>
          <w:sz w:val="24"/>
          <w:szCs w:val="24"/>
          <w:bdr w:val="none" w:sz="0" w:space="0" w:color="auto" w:frame="1"/>
          <w:lang w:eastAsia="pt-BR"/>
        </w:rPr>
        <w:t>O CONSELHO DA CÂMARA DE COMÉRCIO EXTERIOR, </w:t>
      </w:r>
      <w:r w:rsidRPr="00AA1ABE">
        <w:rPr>
          <w:rFonts w:eastAsia="Times New Roman" w:cs="Times New Roman"/>
          <w:color w:val="000000"/>
          <w:sz w:val="24"/>
          <w:szCs w:val="24"/>
          <w:lang w:eastAsia="pt-BR"/>
        </w:rPr>
        <w:t>com fundamento no inciso I do art. 3</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do Decreto n</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8.058, de 2013,</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 </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CONSIDERANDO o que consta na Nota Técnica n</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34/SAIN/MF,</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 </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b/>
          <w:bCs/>
          <w:color w:val="000000"/>
          <w:sz w:val="24"/>
          <w:szCs w:val="24"/>
          <w:bdr w:val="none" w:sz="0" w:space="0" w:color="auto" w:frame="1"/>
          <w:lang w:eastAsia="pt-BR"/>
        </w:rPr>
        <w:t>RESOLVE:</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b/>
          <w:bCs/>
          <w:color w:val="000000"/>
          <w:sz w:val="24"/>
          <w:szCs w:val="24"/>
          <w:bdr w:val="none" w:sz="0" w:space="0" w:color="auto" w:frame="1"/>
          <w:lang w:eastAsia="pt-BR"/>
        </w:rPr>
        <w:t> </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Art. 1</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Prorrogar a suspensão, por um ano, a partir de 20 de novembro de 2016, do direito antidumping definitivo aplicado às importações brasileiras de borracha de estireno-</w:t>
      </w:r>
      <w:proofErr w:type="spellStart"/>
      <w:r w:rsidRPr="00AA1ABE">
        <w:rPr>
          <w:rFonts w:eastAsia="Times New Roman" w:cs="Times New Roman"/>
          <w:color w:val="000000"/>
          <w:sz w:val="24"/>
          <w:szCs w:val="24"/>
          <w:lang w:eastAsia="pt-BR"/>
        </w:rPr>
        <w:t>butadieno</w:t>
      </w:r>
      <w:proofErr w:type="spellEnd"/>
      <w:r w:rsidRPr="00AA1ABE">
        <w:rPr>
          <w:rFonts w:eastAsia="Times New Roman" w:cs="Times New Roman"/>
          <w:color w:val="000000"/>
          <w:sz w:val="24"/>
          <w:szCs w:val="24"/>
          <w:lang w:eastAsia="pt-BR"/>
        </w:rPr>
        <w:t xml:space="preserve"> polimerizada em emulsão a frio (</w:t>
      </w:r>
      <w:proofErr w:type="spellStart"/>
      <w:r w:rsidRPr="00AA1ABE">
        <w:rPr>
          <w:rFonts w:eastAsia="Times New Roman" w:cs="Times New Roman"/>
          <w:b/>
          <w:bCs/>
          <w:color w:val="000000"/>
          <w:sz w:val="24"/>
          <w:szCs w:val="24"/>
          <w:bdr w:val="none" w:sz="0" w:space="0" w:color="auto" w:frame="1"/>
          <w:lang w:eastAsia="pt-BR"/>
        </w:rPr>
        <w:t>Emulsion</w:t>
      </w:r>
      <w:proofErr w:type="spellEnd"/>
      <w:r w:rsidRPr="00AA1ABE">
        <w:rPr>
          <w:rFonts w:eastAsia="Times New Roman" w:cs="Times New Roman"/>
          <w:b/>
          <w:bCs/>
          <w:color w:val="000000"/>
          <w:sz w:val="24"/>
          <w:szCs w:val="24"/>
          <w:bdr w:val="none" w:sz="0" w:space="0" w:color="auto" w:frame="1"/>
          <w:lang w:eastAsia="pt-BR"/>
        </w:rPr>
        <w:t xml:space="preserve"> </w:t>
      </w:r>
      <w:proofErr w:type="spellStart"/>
      <w:r w:rsidRPr="00AA1ABE">
        <w:rPr>
          <w:rFonts w:eastAsia="Times New Roman" w:cs="Times New Roman"/>
          <w:b/>
          <w:bCs/>
          <w:color w:val="000000"/>
          <w:sz w:val="24"/>
          <w:szCs w:val="24"/>
          <w:bdr w:val="none" w:sz="0" w:space="0" w:color="auto" w:frame="1"/>
          <w:lang w:eastAsia="pt-BR"/>
        </w:rPr>
        <w:t>Styrene-Butadiene</w:t>
      </w:r>
      <w:proofErr w:type="spellEnd"/>
      <w:r w:rsidRPr="00AA1ABE">
        <w:rPr>
          <w:rFonts w:eastAsia="Times New Roman" w:cs="Times New Roman"/>
          <w:b/>
          <w:bCs/>
          <w:color w:val="000000"/>
          <w:sz w:val="24"/>
          <w:szCs w:val="24"/>
          <w:bdr w:val="none" w:sz="0" w:space="0" w:color="auto" w:frame="1"/>
          <w:lang w:eastAsia="pt-BR"/>
        </w:rPr>
        <w:t xml:space="preserve"> </w:t>
      </w:r>
      <w:proofErr w:type="spellStart"/>
      <w:r w:rsidRPr="00AA1ABE">
        <w:rPr>
          <w:rFonts w:eastAsia="Times New Roman" w:cs="Times New Roman"/>
          <w:b/>
          <w:bCs/>
          <w:color w:val="000000"/>
          <w:sz w:val="24"/>
          <w:szCs w:val="24"/>
          <w:bdr w:val="none" w:sz="0" w:space="0" w:color="auto" w:frame="1"/>
          <w:lang w:eastAsia="pt-BR"/>
        </w:rPr>
        <w:t>Rubberou</w:t>
      </w:r>
      <w:proofErr w:type="spellEnd"/>
      <w:r w:rsidRPr="00AA1ABE">
        <w:rPr>
          <w:rFonts w:eastAsia="Times New Roman" w:cs="Times New Roman"/>
          <w:color w:val="000000"/>
          <w:sz w:val="24"/>
          <w:szCs w:val="24"/>
          <w:lang w:eastAsia="pt-BR"/>
        </w:rPr>
        <w:t> E-SBR), não estendida em óleo plastificante, com teor de estireno combinado de 23,5%, e estendida em óleo plastificante, com teor de estireno combinado de 23,5% ou de 40%, comumente classificadas nos itens 4002.19.11 e 4002.19.19 da Nomenclatura Comum do MERCOSUL – NCM, originárias da União Europeia, de que trata a  Resolução CAMEX n</w:t>
      </w:r>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110, de 19 de novembro de 2015.</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 </w:t>
      </w:r>
    </w:p>
    <w:p w:rsidR="00C53344" w:rsidRPr="00AA1ABE" w:rsidRDefault="00C53344" w:rsidP="00AA1ABE">
      <w:pPr>
        <w:spacing w:after="24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t>Art. 2</w:t>
      </w:r>
      <w:proofErr w:type="gramStart"/>
      <w:r w:rsidRPr="00AA1ABE">
        <w:rPr>
          <w:rFonts w:eastAsia="Times New Roman" w:cs="Times New Roman"/>
          <w:strike/>
          <w:color w:val="000000"/>
          <w:sz w:val="24"/>
          <w:szCs w:val="24"/>
          <w:bdr w:val="none" w:sz="0" w:space="0" w:color="auto" w:frame="1"/>
          <w:lang w:eastAsia="pt-BR"/>
        </w:rPr>
        <w:t>º</w:t>
      </w:r>
      <w:r w:rsidRPr="00AA1ABE">
        <w:rPr>
          <w:rFonts w:eastAsia="Times New Roman" w:cs="Times New Roman"/>
          <w:color w:val="000000"/>
          <w:sz w:val="24"/>
          <w:szCs w:val="24"/>
          <w:lang w:eastAsia="pt-BR"/>
        </w:rPr>
        <w:t>  Esta</w:t>
      </w:r>
      <w:proofErr w:type="gramEnd"/>
      <w:r w:rsidRPr="00AA1ABE">
        <w:rPr>
          <w:rFonts w:eastAsia="Times New Roman" w:cs="Times New Roman"/>
          <w:color w:val="000000"/>
          <w:sz w:val="24"/>
          <w:szCs w:val="24"/>
          <w:lang w:eastAsia="pt-BR"/>
        </w:rPr>
        <w:t xml:space="preserve"> Resolução entra em vigor na data de sua publicação.</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b/>
          <w:bCs/>
          <w:color w:val="000000"/>
          <w:sz w:val="24"/>
          <w:szCs w:val="24"/>
          <w:bdr w:val="none" w:sz="0" w:space="0" w:color="auto" w:frame="1"/>
          <w:lang w:eastAsia="pt-BR"/>
        </w:rPr>
        <w:t>JOSÉ SERRA</w:t>
      </w:r>
    </w:p>
    <w:p w:rsidR="00C53344" w:rsidRPr="00AA1ABE" w:rsidRDefault="00C53344" w:rsidP="00AA1ABE">
      <w:pPr>
        <w:spacing w:after="0" w:line="240" w:lineRule="auto"/>
        <w:textAlignment w:val="top"/>
        <w:rPr>
          <w:rFonts w:eastAsia="Times New Roman" w:cs="Times New Roman"/>
          <w:color w:val="000000"/>
          <w:sz w:val="24"/>
          <w:szCs w:val="24"/>
          <w:lang w:eastAsia="pt-BR"/>
        </w:rPr>
      </w:pPr>
      <w:r w:rsidRPr="00AA1ABE">
        <w:rPr>
          <w:rFonts w:eastAsia="Times New Roman" w:cs="Times New Roman"/>
          <w:color w:val="000000"/>
          <w:sz w:val="24"/>
          <w:szCs w:val="24"/>
          <w:lang w:eastAsia="pt-BR"/>
        </w:rPr>
        <w:lastRenderedPageBreak/>
        <w:t xml:space="preserve">Presidente do Comitê Executivo de Gestão – </w:t>
      </w:r>
      <w:proofErr w:type="spellStart"/>
      <w:r w:rsidRPr="00AA1ABE">
        <w:rPr>
          <w:rFonts w:eastAsia="Times New Roman" w:cs="Times New Roman"/>
          <w:color w:val="000000"/>
          <w:sz w:val="24"/>
          <w:szCs w:val="24"/>
          <w:lang w:eastAsia="pt-BR"/>
        </w:rPr>
        <w:t>Gecex</w:t>
      </w:r>
      <w:proofErr w:type="spellEnd"/>
    </w:p>
    <w:p w:rsidR="004811E8" w:rsidRDefault="004811E8" w:rsidP="00AA1ABE">
      <w:pPr>
        <w:pStyle w:val="NormalWeb"/>
        <w:spacing w:before="0" w:beforeAutospacing="0" w:after="0" w:afterAutospacing="0"/>
        <w:jc w:val="both"/>
        <w:textAlignment w:val="top"/>
        <w:rPr>
          <w:rFonts w:asciiTheme="minorHAnsi" w:hAnsiTheme="minorHAnsi"/>
          <w:color w:val="0D2731"/>
        </w:rPr>
      </w:pPr>
    </w:p>
    <w:p w:rsidR="004811E8" w:rsidRDefault="004811E8" w:rsidP="00AA1ABE">
      <w:pPr>
        <w:pStyle w:val="NormalWeb"/>
        <w:spacing w:before="0" w:beforeAutospacing="0" w:after="0" w:afterAutospacing="0"/>
        <w:jc w:val="both"/>
        <w:textAlignment w:val="top"/>
        <w:rPr>
          <w:rFonts w:asciiTheme="minorHAnsi" w:hAnsiTheme="minorHAnsi"/>
          <w:color w:val="0D2731"/>
        </w:rPr>
      </w:pPr>
    </w:p>
    <w:p w:rsidR="00C53344" w:rsidRPr="00F41B9F" w:rsidRDefault="00C53344" w:rsidP="00F41B9F">
      <w:pPr>
        <w:pStyle w:val="NormalWeb"/>
        <w:spacing w:before="0" w:beforeAutospacing="0" w:after="0" w:afterAutospacing="0"/>
        <w:jc w:val="center"/>
        <w:textAlignment w:val="top"/>
        <w:rPr>
          <w:rFonts w:asciiTheme="minorHAnsi" w:hAnsiTheme="minorHAnsi"/>
          <w:b/>
          <w:color w:val="0D2731"/>
        </w:rPr>
      </w:pPr>
      <w:r w:rsidRPr="00F41B9F">
        <w:rPr>
          <w:rFonts w:asciiTheme="minorHAnsi" w:hAnsiTheme="minorHAnsi"/>
          <w:b/>
          <w:color w:val="0D2731"/>
        </w:rPr>
        <w:t>RESOLUÇÃO</w:t>
      </w:r>
      <w:r w:rsidR="00F41B9F">
        <w:rPr>
          <w:rFonts w:asciiTheme="minorHAnsi" w:hAnsiTheme="minorHAnsi"/>
          <w:b/>
          <w:color w:val="0D2731"/>
        </w:rPr>
        <w:t xml:space="preserve"> CAMEX</w:t>
      </w:r>
      <w:r w:rsidRPr="00F41B9F">
        <w:rPr>
          <w:rFonts w:asciiTheme="minorHAnsi" w:hAnsiTheme="minorHAnsi"/>
          <w:b/>
          <w:color w:val="0D2731"/>
        </w:rPr>
        <w:t xml:space="preserve"> N</w:t>
      </w:r>
      <w:r w:rsidRPr="00F41B9F">
        <w:rPr>
          <w:rFonts w:asciiTheme="minorHAnsi" w:hAnsiTheme="minorHAnsi"/>
          <w:b/>
          <w:strike/>
          <w:color w:val="0D2731"/>
          <w:bdr w:val="none" w:sz="0" w:space="0" w:color="auto" w:frame="1"/>
        </w:rPr>
        <w:t>º</w:t>
      </w:r>
      <w:r w:rsidRPr="00F41B9F">
        <w:rPr>
          <w:rStyle w:val="apple-converted-space"/>
          <w:rFonts w:asciiTheme="minorHAnsi" w:hAnsiTheme="minorHAnsi"/>
          <w:b/>
          <w:color w:val="0D2731"/>
        </w:rPr>
        <w:t> </w:t>
      </w:r>
      <w:r w:rsidRPr="00F41B9F">
        <w:rPr>
          <w:rFonts w:asciiTheme="minorHAnsi" w:hAnsiTheme="minorHAnsi"/>
          <w:b/>
          <w:color w:val="0D2731"/>
        </w:rPr>
        <w:t>97, DE 10 DE OUTUBRO DE 2016</w:t>
      </w:r>
      <w:r w:rsidRPr="00F41B9F">
        <w:rPr>
          <w:rFonts w:asciiTheme="minorHAnsi" w:hAnsiTheme="minorHAnsi"/>
          <w:b/>
          <w:color w:val="0D2731"/>
        </w:rPr>
        <w:br/>
        <w:t>(Publicada no D.O.U. de 11/10/2016)</w:t>
      </w:r>
    </w:p>
    <w:p w:rsidR="00F41B9F" w:rsidRDefault="00F41B9F" w:rsidP="00AA1ABE">
      <w:pPr>
        <w:spacing w:after="240"/>
        <w:textAlignment w:val="top"/>
        <w:rPr>
          <w:color w:val="000000"/>
          <w:sz w:val="24"/>
          <w:szCs w:val="24"/>
        </w:rPr>
      </w:pPr>
    </w:p>
    <w:p w:rsidR="00C53344" w:rsidRPr="00AA1ABE" w:rsidRDefault="00C53344" w:rsidP="00AA1ABE">
      <w:pPr>
        <w:spacing w:after="240"/>
        <w:textAlignment w:val="top"/>
        <w:rPr>
          <w:color w:val="000000"/>
          <w:sz w:val="24"/>
          <w:szCs w:val="24"/>
        </w:rPr>
      </w:pPr>
      <w:r w:rsidRPr="00AA1ABE">
        <w:rPr>
          <w:color w:val="000000"/>
          <w:sz w:val="24"/>
          <w:szCs w:val="24"/>
        </w:rPr>
        <w:t>Decide não suspender, por interesse público, o direito antidumping aplicado às importações brasileiras de PVC-S, de que tratam a Resolução CAMEX n</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85, de 8 de dezembro de 2010, e a Resolução CAMEX n</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68, de 14 de agosto de 2014.</w:t>
      </w:r>
    </w:p>
    <w:p w:rsidR="00C53344" w:rsidRPr="00AA1ABE" w:rsidRDefault="00C53344" w:rsidP="00AA1ABE">
      <w:pPr>
        <w:spacing w:after="0"/>
        <w:textAlignment w:val="top"/>
        <w:rPr>
          <w:color w:val="000000"/>
          <w:sz w:val="24"/>
          <w:szCs w:val="24"/>
        </w:rPr>
      </w:pPr>
      <w:r w:rsidRPr="00AA1ABE">
        <w:rPr>
          <w:rStyle w:val="Forte"/>
          <w:color w:val="000000"/>
          <w:sz w:val="24"/>
          <w:szCs w:val="24"/>
          <w:bdr w:val="none" w:sz="0" w:space="0" w:color="auto" w:frame="1"/>
        </w:rPr>
        <w:t>O CONSELHO DA CÂMARA DE COMÉRCIO EXTERIOR - CAMEX</w:t>
      </w:r>
      <w:r w:rsidRPr="00AA1ABE">
        <w:rPr>
          <w:color w:val="000000"/>
          <w:sz w:val="24"/>
          <w:szCs w:val="24"/>
        </w:rPr>
        <w:t>, com fundamento no art. 3</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do Decreto n</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8.058, de 26 de julho de 2013, CONSIDERANDO o que consta dos Processos CAMEX/MDIC n</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52002.00022/2016-29 e SEAE/MF n</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18101.000745/2015-91, </w:t>
      </w:r>
      <w:r w:rsidRPr="00AA1ABE">
        <w:rPr>
          <w:rStyle w:val="Forte"/>
          <w:color w:val="000000"/>
          <w:sz w:val="24"/>
          <w:szCs w:val="24"/>
          <w:bdr w:val="none" w:sz="0" w:space="0" w:color="auto" w:frame="1"/>
        </w:rPr>
        <w:t>resolve</w:t>
      </w:r>
      <w:r w:rsidRPr="00AA1ABE">
        <w:rPr>
          <w:color w:val="000000"/>
          <w:sz w:val="24"/>
          <w:szCs w:val="24"/>
        </w:rPr>
        <w:t>:</w:t>
      </w:r>
    </w:p>
    <w:p w:rsidR="00C53344" w:rsidRPr="00AA1ABE" w:rsidRDefault="00C53344" w:rsidP="00AA1ABE">
      <w:pPr>
        <w:textAlignment w:val="top"/>
        <w:rPr>
          <w:color w:val="000000"/>
          <w:sz w:val="24"/>
          <w:szCs w:val="24"/>
        </w:rPr>
      </w:pPr>
      <w:r w:rsidRPr="00AA1ABE">
        <w:rPr>
          <w:color w:val="000000"/>
          <w:sz w:val="24"/>
          <w:szCs w:val="24"/>
        </w:rPr>
        <w:br/>
        <w:t>Art. 1</w:t>
      </w:r>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 Encerrar o processo de avaliação de interesse público, instaurado por meio da</w:t>
      </w:r>
      <w:r w:rsidRPr="00AA1ABE">
        <w:rPr>
          <w:rStyle w:val="apple-converted-space"/>
          <w:color w:val="000000"/>
          <w:sz w:val="24"/>
          <w:szCs w:val="24"/>
        </w:rPr>
        <w:t> </w:t>
      </w:r>
      <w:hyperlink r:id="rId8" w:history="1">
        <w:r w:rsidRPr="00AA1ABE">
          <w:rPr>
            <w:rStyle w:val="Hyperlink"/>
            <w:color w:val="4C7F8E"/>
            <w:sz w:val="24"/>
            <w:szCs w:val="24"/>
            <w:bdr w:val="none" w:sz="0" w:space="0" w:color="auto" w:frame="1"/>
          </w:rPr>
          <w:t>Resolução CAMEX n</w:t>
        </w:r>
        <w:r w:rsidRPr="00AA1ABE">
          <w:rPr>
            <w:rStyle w:val="Hyperlink"/>
            <w:strike/>
            <w:color w:val="4C7F8E"/>
            <w:sz w:val="24"/>
            <w:szCs w:val="24"/>
            <w:bdr w:val="none" w:sz="0" w:space="0" w:color="auto" w:frame="1"/>
          </w:rPr>
          <w:t>º</w:t>
        </w:r>
        <w:r w:rsidRPr="00AA1ABE">
          <w:rPr>
            <w:rStyle w:val="apple-converted-space"/>
            <w:color w:val="4C7F8E"/>
            <w:sz w:val="24"/>
            <w:szCs w:val="24"/>
            <w:bdr w:val="none" w:sz="0" w:space="0" w:color="auto" w:frame="1"/>
          </w:rPr>
          <w:t> </w:t>
        </w:r>
        <w:r w:rsidRPr="00AA1ABE">
          <w:rPr>
            <w:rStyle w:val="Hyperlink"/>
            <w:color w:val="4C7F8E"/>
            <w:sz w:val="24"/>
            <w:szCs w:val="24"/>
            <w:bdr w:val="none" w:sz="0" w:space="0" w:color="auto" w:frame="1"/>
          </w:rPr>
          <w:t>25, de 24 de março de 2016</w:t>
        </w:r>
      </w:hyperlink>
      <w:r w:rsidRPr="00AA1ABE">
        <w:rPr>
          <w:color w:val="000000"/>
          <w:sz w:val="24"/>
          <w:szCs w:val="24"/>
        </w:rPr>
        <w:t xml:space="preserve">, para não suspender o direito antidumping definitivo aplicado às importações brasileiras de resina de </w:t>
      </w:r>
      <w:proofErr w:type="spellStart"/>
      <w:r w:rsidRPr="00AA1ABE">
        <w:rPr>
          <w:color w:val="000000"/>
          <w:sz w:val="24"/>
          <w:szCs w:val="24"/>
        </w:rPr>
        <w:t>policloreto</w:t>
      </w:r>
      <w:proofErr w:type="spellEnd"/>
      <w:r w:rsidRPr="00AA1ABE">
        <w:rPr>
          <w:color w:val="000000"/>
          <w:sz w:val="24"/>
          <w:szCs w:val="24"/>
        </w:rPr>
        <w:t xml:space="preserve"> de </w:t>
      </w:r>
      <w:proofErr w:type="spellStart"/>
      <w:r w:rsidRPr="00AA1ABE">
        <w:rPr>
          <w:color w:val="000000"/>
          <w:sz w:val="24"/>
          <w:szCs w:val="24"/>
        </w:rPr>
        <w:t>vinila</w:t>
      </w:r>
      <w:proofErr w:type="spellEnd"/>
      <w:r w:rsidRPr="00AA1ABE">
        <w:rPr>
          <w:color w:val="000000"/>
          <w:sz w:val="24"/>
          <w:szCs w:val="24"/>
        </w:rPr>
        <w:t>, não misturado com outras substâncias, obtido por processo de suspensão (PVC-S) comumente classificada no item 3904.10.10 da Nomenclatura Comum do Mercosul – NCM, originárias da República Popular da China, Coreia do Sul, México e Estados Unidos da América.</w:t>
      </w:r>
    </w:p>
    <w:p w:rsidR="00C53344" w:rsidRPr="00AA1ABE" w:rsidRDefault="00C53344" w:rsidP="00AA1ABE">
      <w:pPr>
        <w:spacing w:after="240"/>
        <w:textAlignment w:val="top"/>
        <w:rPr>
          <w:color w:val="000000"/>
          <w:sz w:val="24"/>
          <w:szCs w:val="24"/>
        </w:rPr>
      </w:pPr>
      <w:r w:rsidRPr="00AA1ABE">
        <w:rPr>
          <w:color w:val="000000"/>
          <w:sz w:val="24"/>
          <w:szCs w:val="24"/>
        </w:rPr>
        <w:br/>
        <w:t>Art. 2</w:t>
      </w:r>
      <w:proofErr w:type="gramStart"/>
      <w:r w:rsidRPr="00AA1ABE">
        <w:rPr>
          <w:strike/>
          <w:color w:val="000000"/>
          <w:sz w:val="24"/>
          <w:szCs w:val="24"/>
          <w:bdr w:val="none" w:sz="0" w:space="0" w:color="auto" w:frame="1"/>
        </w:rPr>
        <w:t>º</w:t>
      </w:r>
      <w:r w:rsidRPr="00AA1ABE">
        <w:rPr>
          <w:rStyle w:val="apple-converted-space"/>
          <w:color w:val="000000"/>
          <w:sz w:val="24"/>
          <w:szCs w:val="24"/>
        </w:rPr>
        <w:t> </w:t>
      </w:r>
      <w:r w:rsidRPr="00AA1ABE">
        <w:rPr>
          <w:color w:val="000000"/>
          <w:sz w:val="24"/>
          <w:szCs w:val="24"/>
        </w:rPr>
        <w:t> Esta</w:t>
      </w:r>
      <w:proofErr w:type="gramEnd"/>
      <w:r w:rsidRPr="00AA1ABE">
        <w:rPr>
          <w:color w:val="000000"/>
          <w:sz w:val="24"/>
          <w:szCs w:val="24"/>
        </w:rPr>
        <w:t xml:space="preserve"> Resolução entra em vigor na data de sua publicação.</w:t>
      </w:r>
      <w:r w:rsidRPr="00AA1ABE">
        <w:rPr>
          <w:color w:val="000000"/>
          <w:sz w:val="24"/>
          <w:szCs w:val="24"/>
        </w:rPr>
        <w:br/>
      </w:r>
    </w:p>
    <w:p w:rsidR="00C53344" w:rsidRPr="00AA1ABE" w:rsidRDefault="00C53344" w:rsidP="00AA1ABE">
      <w:pPr>
        <w:spacing w:after="0"/>
        <w:textAlignment w:val="top"/>
        <w:rPr>
          <w:color w:val="000000"/>
          <w:sz w:val="24"/>
          <w:szCs w:val="24"/>
        </w:rPr>
      </w:pPr>
      <w:r w:rsidRPr="00AA1ABE">
        <w:rPr>
          <w:rStyle w:val="Forte"/>
          <w:color w:val="000000"/>
          <w:sz w:val="24"/>
          <w:szCs w:val="24"/>
          <w:bdr w:val="none" w:sz="0" w:space="0" w:color="auto" w:frame="1"/>
        </w:rPr>
        <w:t>JOSÉ SERRA</w:t>
      </w:r>
    </w:p>
    <w:p w:rsidR="00C53344" w:rsidRPr="00AA1ABE" w:rsidRDefault="00C53344" w:rsidP="00AA1ABE">
      <w:pPr>
        <w:textAlignment w:val="top"/>
        <w:rPr>
          <w:color w:val="000000"/>
          <w:sz w:val="24"/>
          <w:szCs w:val="24"/>
        </w:rPr>
      </w:pPr>
      <w:r w:rsidRPr="00AA1ABE">
        <w:rPr>
          <w:color w:val="000000"/>
          <w:sz w:val="24"/>
          <w:szCs w:val="24"/>
        </w:rPr>
        <w:t xml:space="preserve">Presidente do Comitê Executivo de Gestão - </w:t>
      </w:r>
      <w:proofErr w:type="spellStart"/>
      <w:r w:rsidRPr="00AA1ABE">
        <w:rPr>
          <w:color w:val="000000"/>
          <w:sz w:val="24"/>
          <w:szCs w:val="24"/>
        </w:rPr>
        <w:t>Gecex</w:t>
      </w:r>
      <w:proofErr w:type="spellEnd"/>
    </w:p>
    <w:p w:rsidR="00C53344" w:rsidRPr="00AA1ABE" w:rsidRDefault="00C53344" w:rsidP="00AA1ABE">
      <w:pPr>
        <w:pStyle w:val="NormalWeb"/>
        <w:spacing w:before="0" w:beforeAutospacing="0" w:after="0" w:afterAutospacing="0"/>
        <w:jc w:val="both"/>
        <w:textAlignment w:val="top"/>
        <w:rPr>
          <w:rFonts w:asciiTheme="minorHAnsi" w:hAnsiTheme="minorHAnsi"/>
          <w:color w:val="0D2731"/>
        </w:rPr>
      </w:pPr>
      <w:r w:rsidRPr="00AA1ABE">
        <w:rPr>
          <w:rStyle w:val="Forte"/>
          <w:rFonts w:asciiTheme="minorHAnsi" w:hAnsiTheme="minorHAnsi"/>
          <w:color w:val="0D2731"/>
          <w:bdr w:val="none" w:sz="0" w:space="0" w:color="auto" w:frame="1"/>
        </w:rPr>
        <w:t> </w:t>
      </w:r>
    </w:p>
    <w:p w:rsidR="00C53344" w:rsidRPr="00AA1ABE" w:rsidRDefault="00C53344" w:rsidP="00AA1ABE">
      <w:pPr>
        <w:shd w:val="clear" w:color="auto" w:fill="FFFFFF"/>
        <w:spacing w:after="0" w:line="240" w:lineRule="auto"/>
        <w:rPr>
          <w:b/>
          <w:sz w:val="24"/>
          <w:szCs w:val="24"/>
        </w:rPr>
      </w:pPr>
    </w:p>
    <w:sectPr w:rsidR="00C53344" w:rsidRPr="00AA1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E5634"/>
    <w:multiLevelType w:val="multilevel"/>
    <w:tmpl w:val="95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52CE"/>
    <w:rsid w:val="000177F2"/>
    <w:rsid w:val="00020ED5"/>
    <w:rsid w:val="000219E4"/>
    <w:rsid w:val="00031B67"/>
    <w:rsid w:val="00031F78"/>
    <w:rsid w:val="00033473"/>
    <w:rsid w:val="0004661E"/>
    <w:rsid w:val="00047189"/>
    <w:rsid w:val="00047724"/>
    <w:rsid w:val="00057189"/>
    <w:rsid w:val="00065F14"/>
    <w:rsid w:val="00071655"/>
    <w:rsid w:val="00071B36"/>
    <w:rsid w:val="00072BFC"/>
    <w:rsid w:val="00076ED1"/>
    <w:rsid w:val="00081BE7"/>
    <w:rsid w:val="0008413E"/>
    <w:rsid w:val="00085A7F"/>
    <w:rsid w:val="000A224D"/>
    <w:rsid w:val="000A38E1"/>
    <w:rsid w:val="000A5B27"/>
    <w:rsid w:val="000A6A49"/>
    <w:rsid w:val="000A6EBC"/>
    <w:rsid w:val="000B1648"/>
    <w:rsid w:val="000B4817"/>
    <w:rsid w:val="000B5E7B"/>
    <w:rsid w:val="000B6136"/>
    <w:rsid w:val="000B6B0F"/>
    <w:rsid w:val="000C2091"/>
    <w:rsid w:val="000C5696"/>
    <w:rsid w:val="000C6612"/>
    <w:rsid w:val="000C7EED"/>
    <w:rsid w:val="000D06EB"/>
    <w:rsid w:val="000D248E"/>
    <w:rsid w:val="000D2D3A"/>
    <w:rsid w:val="000D3238"/>
    <w:rsid w:val="000D5C96"/>
    <w:rsid w:val="000D6E29"/>
    <w:rsid w:val="000E6F34"/>
    <w:rsid w:val="000E7D36"/>
    <w:rsid w:val="000F2658"/>
    <w:rsid w:val="000F535C"/>
    <w:rsid w:val="000F67A9"/>
    <w:rsid w:val="00100509"/>
    <w:rsid w:val="00106C97"/>
    <w:rsid w:val="00110FAB"/>
    <w:rsid w:val="001113E7"/>
    <w:rsid w:val="00113855"/>
    <w:rsid w:val="00126A2E"/>
    <w:rsid w:val="00131C55"/>
    <w:rsid w:val="0013345C"/>
    <w:rsid w:val="001417D4"/>
    <w:rsid w:val="001417E8"/>
    <w:rsid w:val="001448FB"/>
    <w:rsid w:val="00146FB0"/>
    <w:rsid w:val="00147F00"/>
    <w:rsid w:val="00151695"/>
    <w:rsid w:val="0015182A"/>
    <w:rsid w:val="001548C9"/>
    <w:rsid w:val="00156558"/>
    <w:rsid w:val="001606CE"/>
    <w:rsid w:val="00162FB0"/>
    <w:rsid w:val="00166754"/>
    <w:rsid w:val="00166A9D"/>
    <w:rsid w:val="001801D4"/>
    <w:rsid w:val="00180D88"/>
    <w:rsid w:val="001821A9"/>
    <w:rsid w:val="001944D7"/>
    <w:rsid w:val="001949E8"/>
    <w:rsid w:val="0019614F"/>
    <w:rsid w:val="001A1358"/>
    <w:rsid w:val="001A173D"/>
    <w:rsid w:val="001A23F9"/>
    <w:rsid w:val="001A3F27"/>
    <w:rsid w:val="001A78E0"/>
    <w:rsid w:val="001A7D8A"/>
    <w:rsid w:val="001C5DFB"/>
    <w:rsid w:val="001E12B3"/>
    <w:rsid w:val="001E2A8A"/>
    <w:rsid w:val="001E2A98"/>
    <w:rsid w:val="001E6DEA"/>
    <w:rsid w:val="001F301B"/>
    <w:rsid w:val="001F5166"/>
    <w:rsid w:val="001F55A3"/>
    <w:rsid w:val="001F78CE"/>
    <w:rsid w:val="00200B20"/>
    <w:rsid w:val="002049F8"/>
    <w:rsid w:val="00207745"/>
    <w:rsid w:val="00216DD3"/>
    <w:rsid w:val="00223F40"/>
    <w:rsid w:val="00232B30"/>
    <w:rsid w:val="002415C3"/>
    <w:rsid w:val="00242534"/>
    <w:rsid w:val="00243A08"/>
    <w:rsid w:val="00243B62"/>
    <w:rsid w:val="002531B3"/>
    <w:rsid w:val="002547C9"/>
    <w:rsid w:val="0025498D"/>
    <w:rsid w:val="00255598"/>
    <w:rsid w:val="0025713F"/>
    <w:rsid w:val="0025786A"/>
    <w:rsid w:val="00262812"/>
    <w:rsid w:val="00264007"/>
    <w:rsid w:val="002642DA"/>
    <w:rsid w:val="0026563C"/>
    <w:rsid w:val="00266605"/>
    <w:rsid w:val="0027465C"/>
    <w:rsid w:val="00281BC9"/>
    <w:rsid w:val="0028285B"/>
    <w:rsid w:val="00291EE6"/>
    <w:rsid w:val="00293FE3"/>
    <w:rsid w:val="0029546B"/>
    <w:rsid w:val="002979EA"/>
    <w:rsid w:val="002A2D42"/>
    <w:rsid w:val="002A3C53"/>
    <w:rsid w:val="002A7876"/>
    <w:rsid w:val="002B2B84"/>
    <w:rsid w:val="002B2E35"/>
    <w:rsid w:val="002B4AEB"/>
    <w:rsid w:val="002B4FCB"/>
    <w:rsid w:val="002C2342"/>
    <w:rsid w:val="002C36C8"/>
    <w:rsid w:val="002C50A9"/>
    <w:rsid w:val="002D1078"/>
    <w:rsid w:val="002D5F13"/>
    <w:rsid w:val="002D64FD"/>
    <w:rsid w:val="002D70A2"/>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169C"/>
    <w:rsid w:val="003A51B9"/>
    <w:rsid w:val="003B7EC7"/>
    <w:rsid w:val="003C0205"/>
    <w:rsid w:val="003C0A59"/>
    <w:rsid w:val="003C2BBC"/>
    <w:rsid w:val="003C4B9A"/>
    <w:rsid w:val="003C7813"/>
    <w:rsid w:val="003D07E9"/>
    <w:rsid w:val="003D0A3F"/>
    <w:rsid w:val="003D1190"/>
    <w:rsid w:val="003D5CCF"/>
    <w:rsid w:val="003D5F17"/>
    <w:rsid w:val="003D6500"/>
    <w:rsid w:val="003E17DF"/>
    <w:rsid w:val="003E208D"/>
    <w:rsid w:val="003E3229"/>
    <w:rsid w:val="003E5B8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201"/>
    <w:rsid w:val="00474E29"/>
    <w:rsid w:val="004811E8"/>
    <w:rsid w:val="00481947"/>
    <w:rsid w:val="00486905"/>
    <w:rsid w:val="00491E03"/>
    <w:rsid w:val="00494FAF"/>
    <w:rsid w:val="00495E46"/>
    <w:rsid w:val="004A0027"/>
    <w:rsid w:val="004A013B"/>
    <w:rsid w:val="004A0E05"/>
    <w:rsid w:val="004A1DC3"/>
    <w:rsid w:val="004A2B45"/>
    <w:rsid w:val="004A31A9"/>
    <w:rsid w:val="004A3D47"/>
    <w:rsid w:val="004A7EDC"/>
    <w:rsid w:val="004B01FE"/>
    <w:rsid w:val="004B142C"/>
    <w:rsid w:val="004B251B"/>
    <w:rsid w:val="004B27CA"/>
    <w:rsid w:val="004B3A8D"/>
    <w:rsid w:val="004C0DF8"/>
    <w:rsid w:val="004D04C5"/>
    <w:rsid w:val="004D0B92"/>
    <w:rsid w:val="004D3E59"/>
    <w:rsid w:val="004D4A0D"/>
    <w:rsid w:val="004D6BB6"/>
    <w:rsid w:val="004E0459"/>
    <w:rsid w:val="004E071C"/>
    <w:rsid w:val="004E3F6E"/>
    <w:rsid w:val="004E4B02"/>
    <w:rsid w:val="004E7D61"/>
    <w:rsid w:val="004F2ECC"/>
    <w:rsid w:val="004F42B6"/>
    <w:rsid w:val="004F46AF"/>
    <w:rsid w:val="004F4CA9"/>
    <w:rsid w:val="004F5990"/>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315D0"/>
    <w:rsid w:val="0053164A"/>
    <w:rsid w:val="00531FD9"/>
    <w:rsid w:val="00537663"/>
    <w:rsid w:val="005403EF"/>
    <w:rsid w:val="0054102B"/>
    <w:rsid w:val="00541682"/>
    <w:rsid w:val="0054788C"/>
    <w:rsid w:val="00551AB5"/>
    <w:rsid w:val="00553D56"/>
    <w:rsid w:val="005612DA"/>
    <w:rsid w:val="005638A7"/>
    <w:rsid w:val="0056654A"/>
    <w:rsid w:val="0056788C"/>
    <w:rsid w:val="00571329"/>
    <w:rsid w:val="0059441E"/>
    <w:rsid w:val="0059649D"/>
    <w:rsid w:val="005968CE"/>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300C4"/>
    <w:rsid w:val="006301C1"/>
    <w:rsid w:val="0063156C"/>
    <w:rsid w:val="0063329C"/>
    <w:rsid w:val="006453FF"/>
    <w:rsid w:val="0064555B"/>
    <w:rsid w:val="00651292"/>
    <w:rsid w:val="006537B1"/>
    <w:rsid w:val="00653EC3"/>
    <w:rsid w:val="00654006"/>
    <w:rsid w:val="00654A76"/>
    <w:rsid w:val="00655CFF"/>
    <w:rsid w:val="0066045D"/>
    <w:rsid w:val="006626B5"/>
    <w:rsid w:val="00664B86"/>
    <w:rsid w:val="006666B9"/>
    <w:rsid w:val="00672120"/>
    <w:rsid w:val="00672DC2"/>
    <w:rsid w:val="0068065E"/>
    <w:rsid w:val="00680E87"/>
    <w:rsid w:val="00682422"/>
    <w:rsid w:val="0068278C"/>
    <w:rsid w:val="006921F9"/>
    <w:rsid w:val="006C2009"/>
    <w:rsid w:val="006C51FA"/>
    <w:rsid w:val="006D0D23"/>
    <w:rsid w:val="006D12D6"/>
    <w:rsid w:val="006E4654"/>
    <w:rsid w:val="006E68D3"/>
    <w:rsid w:val="006F0651"/>
    <w:rsid w:val="006F20D4"/>
    <w:rsid w:val="00701DCB"/>
    <w:rsid w:val="007028CF"/>
    <w:rsid w:val="007048CA"/>
    <w:rsid w:val="00712182"/>
    <w:rsid w:val="00712B04"/>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6DA2"/>
    <w:rsid w:val="007700E0"/>
    <w:rsid w:val="00772694"/>
    <w:rsid w:val="00773335"/>
    <w:rsid w:val="00775038"/>
    <w:rsid w:val="00781DDD"/>
    <w:rsid w:val="00782B20"/>
    <w:rsid w:val="00783860"/>
    <w:rsid w:val="00786ABA"/>
    <w:rsid w:val="00795BBE"/>
    <w:rsid w:val="00797160"/>
    <w:rsid w:val="007A29B5"/>
    <w:rsid w:val="007A3388"/>
    <w:rsid w:val="007B07F9"/>
    <w:rsid w:val="007B34B7"/>
    <w:rsid w:val="007B6AEA"/>
    <w:rsid w:val="007B6FB4"/>
    <w:rsid w:val="007C43BE"/>
    <w:rsid w:val="007C455F"/>
    <w:rsid w:val="007C46AC"/>
    <w:rsid w:val="007C4E8B"/>
    <w:rsid w:val="007D12CC"/>
    <w:rsid w:val="007D2338"/>
    <w:rsid w:val="007E1324"/>
    <w:rsid w:val="007E584C"/>
    <w:rsid w:val="007F4681"/>
    <w:rsid w:val="007F588A"/>
    <w:rsid w:val="00805358"/>
    <w:rsid w:val="0080586D"/>
    <w:rsid w:val="00805FB7"/>
    <w:rsid w:val="00810FCE"/>
    <w:rsid w:val="00815746"/>
    <w:rsid w:val="00827088"/>
    <w:rsid w:val="00830E7D"/>
    <w:rsid w:val="00836FA0"/>
    <w:rsid w:val="00840BE7"/>
    <w:rsid w:val="00842098"/>
    <w:rsid w:val="0084307B"/>
    <w:rsid w:val="00843BE0"/>
    <w:rsid w:val="008460BE"/>
    <w:rsid w:val="00846878"/>
    <w:rsid w:val="0084758A"/>
    <w:rsid w:val="00851818"/>
    <w:rsid w:val="00852F07"/>
    <w:rsid w:val="0086288A"/>
    <w:rsid w:val="00864474"/>
    <w:rsid w:val="008651E0"/>
    <w:rsid w:val="008673C1"/>
    <w:rsid w:val="00867D56"/>
    <w:rsid w:val="00870838"/>
    <w:rsid w:val="00871EDD"/>
    <w:rsid w:val="008747D0"/>
    <w:rsid w:val="008814E1"/>
    <w:rsid w:val="008947D9"/>
    <w:rsid w:val="008955E8"/>
    <w:rsid w:val="00895FB8"/>
    <w:rsid w:val="008960BC"/>
    <w:rsid w:val="008A0D88"/>
    <w:rsid w:val="008A14BB"/>
    <w:rsid w:val="008A2309"/>
    <w:rsid w:val="008B4DD8"/>
    <w:rsid w:val="008B7441"/>
    <w:rsid w:val="008C178D"/>
    <w:rsid w:val="008C50E1"/>
    <w:rsid w:val="008D1098"/>
    <w:rsid w:val="008D65C6"/>
    <w:rsid w:val="008E01E5"/>
    <w:rsid w:val="008E468C"/>
    <w:rsid w:val="008F0866"/>
    <w:rsid w:val="008F0A72"/>
    <w:rsid w:val="008F1D42"/>
    <w:rsid w:val="008F4011"/>
    <w:rsid w:val="008F796D"/>
    <w:rsid w:val="009001B6"/>
    <w:rsid w:val="0090356F"/>
    <w:rsid w:val="0090687E"/>
    <w:rsid w:val="00911F91"/>
    <w:rsid w:val="00914DA4"/>
    <w:rsid w:val="009172AE"/>
    <w:rsid w:val="00921067"/>
    <w:rsid w:val="00926CB3"/>
    <w:rsid w:val="00935B3E"/>
    <w:rsid w:val="00940AC7"/>
    <w:rsid w:val="009457CF"/>
    <w:rsid w:val="009462E2"/>
    <w:rsid w:val="00946C75"/>
    <w:rsid w:val="00947D09"/>
    <w:rsid w:val="009502E3"/>
    <w:rsid w:val="00952EB9"/>
    <w:rsid w:val="009569AA"/>
    <w:rsid w:val="009573B2"/>
    <w:rsid w:val="0096434A"/>
    <w:rsid w:val="00973147"/>
    <w:rsid w:val="00975238"/>
    <w:rsid w:val="009871BA"/>
    <w:rsid w:val="00992CE5"/>
    <w:rsid w:val="00995005"/>
    <w:rsid w:val="00995F60"/>
    <w:rsid w:val="009A3A14"/>
    <w:rsid w:val="009A6109"/>
    <w:rsid w:val="009A630B"/>
    <w:rsid w:val="009B07E9"/>
    <w:rsid w:val="009B3DCB"/>
    <w:rsid w:val="009B404A"/>
    <w:rsid w:val="009C176F"/>
    <w:rsid w:val="009C74C1"/>
    <w:rsid w:val="009D286B"/>
    <w:rsid w:val="009D52E3"/>
    <w:rsid w:val="009E1A65"/>
    <w:rsid w:val="009F1724"/>
    <w:rsid w:val="009F721D"/>
    <w:rsid w:val="00A00727"/>
    <w:rsid w:val="00A01BA0"/>
    <w:rsid w:val="00A076EE"/>
    <w:rsid w:val="00A1410A"/>
    <w:rsid w:val="00A14CA3"/>
    <w:rsid w:val="00A16570"/>
    <w:rsid w:val="00A172E8"/>
    <w:rsid w:val="00A1746A"/>
    <w:rsid w:val="00A22802"/>
    <w:rsid w:val="00A240E8"/>
    <w:rsid w:val="00A30765"/>
    <w:rsid w:val="00A3344E"/>
    <w:rsid w:val="00A43B0B"/>
    <w:rsid w:val="00A46B20"/>
    <w:rsid w:val="00A506B4"/>
    <w:rsid w:val="00A51C54"/>
    <w:rsid w:val="00A52707"/>
    <w:rsid w:val="00A53C10"/>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E4E"/>
    <w:rsid w:val="00AE0967"/>
    <w:rsid w:val="00AE3EC0"/>
    <w:rsid w:val="00AE5BB0"/>
    <w:rsid w:val="00AF19AA"/>
    <w:rsid w:val="00AF5554"/>
    <w:rsid w:val="00AF6DBC"/>
    <w:rsid w:val="00B0535F"/>
    <w:rsid w:val="00B05A01"/>
    <w:rsid w:val="00B06226"/>
    <w:rsid w:val="00B066F0"/>
    <w:rsid w:val="00B103F8"/>
    <w:rsid w:val="00B1135D"/>
    <w:rsid w:val="00B11897"/>
    <w:rsid w:val="00B16580"/>
    <w:rsid w:val="00B22219"/>
    <w:rsid w:val="00B224BA"/>
    <w:rsid w:val="00B24C6A"/>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61EF"/>
    <w:rsid w:val="00B71B5F"/>
    <w:rsid w:val="00B71CC7"/>
    <w:rsid w:val="00B760E3"/>
    <w:rsid w:val="00B7770D"/>
    <w:rsid w:val="00B81E2C"/>
    <w:rsid w:val="00B92AF9"/>
    <w:rsid w:val="00B97918"/>
    <w:rsid w:val="00BA4284"/>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73EE"/>
    <w:rsid w:val="00C00018"/>
    <w:rsid w:val="00C07E15"/>
    <w:rsid w:val="00C10FC0"/>
    <w:rsid w:val="00C12DBB"/>
    <w:rsid w:val="00C156E8"/>
    <w:rsid w:val="00C15D4D"/>
    <w:rsid w:val="00C16BBA"/>
    <w:rsid w:val="00C16C50"/>
    <w:rsid w:val="00C1709B"/>
    <w:rsid w:val="00C24782"/>
    <w:rsid w:val="00C3107E"/>
    <w:rsid w:val="00C32B29"/>
    <w:rsid w:val="00C32E63"/>
    <w:rsid w:val="00C337B7"/>
    <w:rsid w:val="00C36160"/>
    <w:rsid w:val="00C3682B"/>
    <w:rsid w:val="00C40A9F"/>
    <w:rsid w:val="00C460DD"/>
    <w:rsid w:val="00C460F2"/>
    <w:rsid w:val="00C46942"/>
    <w:rsid w:val="00C53344"/>
    <w:rsid w:val="00C5366D"/>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768F"/>
    <w:rsid w:val="00CB0AEB"/>
    <w:rsid w:val="00CB290F"/>
    <w:rsid w:val="00CB31C6"/>
    <w:rsid w:val="00CB5687"/>
    <w:rsid w:val="00CC2006"/>
    <w:rsid w:val="00CD0D0C"/>
    <w:rsid w:val="00CD0F8F"/>
    <w:rsid w:val="00CD461F"/>
    <w:rsid w:val="00CD7BB9"/>
    <w:rsid w:val="00CE52FA"/>
    <w:rsid w:val="00CF1789"/>
    <w:rsid w:val="00CF2330"/>
    <w:rsid w:val="00CF357F"/>
    <w:rsid w:val="00CF3CC7"/>
    <w:rsid w:val="00CF540B"/>
    <w:rsid w:val="00CF5B74"/>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62C7"/>
    <w:rsid w:val="00DE6B13"/>
    <w:rsid w:val="00DE784E"/>
    <w:rsid w:val="00E01F63"/>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4DFB"/>
    <w:rsid w:val="00E55CD8"/>
    <w:rsid w:val="00E612AF"/>
    <w:rsid w:val="00E67DAA"/>
    <w:rsid w:val="00E722EC"/>
    <w:rsid w:val="00E76CDD"/>
    <w:rsid w:val="00E80486"/>
    <w:rsid w:val="00E81910"/>
    <w:rsid w:val="00E81A37"/>
    <w:rsid w:val="00E841C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684"/>
    <w:rsid w:val="00EE0224"/>
    <w:rsid w:val="00EE5423"/>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40EA9"/>
    <w:rsid w:val="00F41B9F"/>
    <w:rsid w:val="00F4774F"/>
    <w:rsid w:val="00F47C11"/>
    <w:rsid w:val="00F534DA"/>
    <w:rsid w:val="00F54636"/>
    <w:rsid w:val="00F6173E"/>
    <w:rsid w:val="00F622A1"/>
    <w:rsid w:val="00F65E1B"/>
    <w:rsid w:val="00F66F35"/>
    <w:rsid w:val="00F73B31"/>
    <w:rsid w:val="00F80E00"/>
    <w:rsid w:val="00F82186"/>
    <w:rsid w:val="00F83226"/>
    <w:rsid w:val="00F852CA"/>
    <w:rsid w:val="00F91533"/>
    <w:rsid w:val="00F93CC2"/>
    <w:rsid w:val="00F972B7"/>
    <w:rsid w:val="00FA47A6"/>
    <w:rsid w:val="00FA4B09"/>
    <w:rsid w:val="00FB172F"/>
    <w:rsid w:val="00FB3B90"/>
    <w:rsid w:val="00FB3E13"/>
    <w:rsid w:val="00FB5001"/>
    <w:rsid w:val="00FB6459"/>
    <w:rsid w:val="00FC1DF8"/>
    <w:rsid w:val="00FC233B"/>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4EF6"/>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ex.mdic.gov.br/legislacao/interna/id/1377" TargetMode="Externa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4185</Words>
  <Characters>22603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2016-10-21T21:18:00Z</dcterms:created>
  <dcterms:modified xsi:type="dcterms:W3CDTF">2016-10-21T21:19:00Z</dcterms:modified>
</cp:coreProperties>
</file>