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E82585">
        <w:rPr>
          <w:b/>
          <w:sz w:val="24"/>
          <w:szCs w:val="24"/>
        </w:rPr>
        <w:t>2</w:t>
      </w:r>
      <w:r w:rsidR="00554D4C">
        <w:rPr>
          <w:b/>
          <w:sz w:val="24"/>
          <w:szCs w:val="24"/>
        </w:rPr>
        <w:t>4</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A0419E" w:rsidRDefault="00A0419E" w:rsidP="00A0419E">
      <w:pPr>
        <w:rPr>
          <w:rFonts w:ascii="Calibri" w:eastAsia="Times New Roman" w:hAnsi="Calibri" w:cs="Times New Roman"/>
          <w:b/>
          <w:bCs/>
          <w:color w:val="222222"/>
          <w:sz w:val="24"/>
          <w:szCs w:val="24"/>
          <w:lang w:eastAsia="pt-BR"/>
        </w:rPr>
      </w:pPr>
    </w:p>
    <w:p w:rsidR="00A0419E" w:rsidRDefault="00477DB6" w:rsidP="00CB77E1">
      <w:pPr>
        <w:shd w:val="clear" w:color="auto" w:fill="FFFFFF"/>
        <w:spacing w:after="0" w:line="240" w:lineRule="auto"/>
        <w:rPr>
          <w:rFonts w:ascii="Calibri" w:eastAsia="Times New Roman" w:hAnsi="Calibri" w:cs="Times New Roman"/>
          <w:color w:val="222222"/>
          <w:sz w:val="24"/>
          <w:szCs w:val="24"/>
          <w:lang w:eastAsia="pt-BR"/>
        </w:rPr>
      </w:pPr>
      <w:r>
        <w:rPr>
          <w:rFonts w:ascii="Calibri" w:eastAsia="Times New Roman" w:hAnsi="Calibri" w:cs="Times New Roman"/>
          <w:b/>
          <w:bCs/>
          <w:color w:val="222222"/>
          <w:sz w:val="24"/>
          <w:szCs w:val="24"/>
          <w:lang w:eastAsia="pt-BR"/>
        </w:rPr>
        <w:t>DIVERSOS PRODUTOS QUE TERÃO O DIREITO ENCERRADO EM 2019 E QUE PODERÃO SER OBJETO DE PRORROGAÇÃO</w:t>
      </w:r>
      <w:r w:rsidRPr="0087225D">
        <w:rPr>
          <w:rFonts w:ascii="Calibri" w:eastAsia="Times New Roman" w:hAnsi="Calibri" w:cs="Times New Roman"/>
          <w:color w:val="222222"/>
          <w:sz w:val="24"/>
          <w:szCs w:val="24"/>
          <w:lang w:eastAsia="pt-BR"/>
        </w:rPr>
        <w:t> </w:t>
      </w:r>
    </w:p>
    <w:p w:rsidR="00CB77E1" w:rsidRDefault="00CB77E1" w:rsidP="00CB77E1">
      <w:pPr>
        <w:shd w:val="clear" w:color="auto" w:fill="FFFFFF"/>
        <w:spacing w:after="0" w:line="240" w:lineRule="auto"/>
        <w:rPr>
          <w:sz w:val="24"/>
          <w:szCs w:val="24"/>
        </w:rPr>
      </w:pPr>
    </w:p>
    <w:p w:rsidR="00F95BED" w:rsidRDefault="001273E2" w:rsidP="00F95BED">
      <w:pPr>
        <w:shd w:val="clear" w:color="auto" w:fill="FFFFFF"/>
        <w:spacing w:after="0" w:line="240" w:lineRule="auto"/>
        <w:rPr>
          <w:rFonts w:eastAsia="Times New Roman" w:cs="Arial"/>
          <w:b/>
          <w:bCs/>
          <w:color w:val="222222"/>
          <w:sz w:val="24"/>
          <w:szCs w:val="24"/>
          <w:lang w:eastAsia="pt-BR"/>
        </w:rPr>
      </w:pPr>
      <w:r>
        <w:rPr>
          <w:rFonts w:ascii="Calibri" w:eastAsia="Times New Roman" w:hAnsi="Calibri" w:cs="Times New Roman"/>
          <w:b/>
          <w:bCs/>
          <w:color w:val="222222"/>
          <w:sz w:val="24"/>
          <w:szCs w:val="24"/>
          <w:lang w:eastAsia="pt-BR"/>
        </w:rPr>
        <w:t>CORPOS MOEDORES EM FERRO FUNDIDO</w:t>
      </w:r>
      <w:r w:rsidR="00EA6BFF" w:rsidRPr="0087225D">
        <w:rPr>
          <w:rFonts w:ascii="Calibri" w:eastAsia="Times New Roman" w:hAnsi="Calibri" w:cs="Times New Roman"/>
          <w:b/>
          <w:bCs/>
          <w:color w:val="222222"/>
          <w:sz w:val="24"/>
          <w:szCs w:val="24"/>
          <w:lang w:eastAsia="pt-BR"/>
        </w:rPr>
        <w:t xml:space="preserve"> (NCM </w:t>
      </w:r>
      <w:r>
        <w:rPr>
          <w:rFonts w:ascii="Calibri" w:eastAsia="Times New Roman" w:hAnsi="Calibri" w:cs="Times New Roman"/>
          <w:b/>
          <w:bCs/>
          <w:color w:val="222222"/>
          <w:sz w:val="24"/>
          <w:szCs w:val="24"/>
          <w:lang w:eastAsia="pt-BR"/>
        </w:rPr>
        <w:t>7325.91.00</w:t>
      </w:r>
      <w:r w:rsidR="00EA6BFF" w:rsidRPr="0087225D">
        <w:rPr>
          <w:rFonts w:ascii="Calibri" w:eastAsia="Times New Roman" w:hAnsi="Calibri" w:cs="Times New Roman"/>
          <w:b/>
          <w:bCs/>
          <w:color w:val="000000"/>
          <w:sz w:val="24"/>
          <w:szCs w:val="24"/>
          <w:lang w:eastAsia="pt-BR"/>
        </w:rPr>
        <w:t>)</w:t>
      </w:r>
      <w:r w:rsidR="00CB77E1">
        <w:rPr>
          <w:rFonts w:eastAsia="Times New Roman" w:cs="Arial"/>
          <w:b/>
          <w:bCs/>
          <w:color w:val="222222"/>
          <w:sz w:val="24"/>
          <w:szCs w:val="24"/>
          <w:lang w:eastAsia="pt-BR"/>
        </w:rPr>
        <w:t xml:space="preserve"> </w:t>
      </w:r>
    </w:p>
    <w:p w:rsidR="001273E2" w:rsidRDefault="001273E2" w:rsidP="00F95BED">
      <w:pPr>
        <w:shd w:val="clear" w:color="auto" w:fill="FFFFFF"/>
        <w:spacing w:after="0" w:line="240" w:lineRule="auto"/>
        <w:rPr>
          <w:rFonts w:eastAsia="Times New Roman" w:cs="Arial"/>
          <w:b/>
          <w:bCs/>
          <w:color w:val="222222"/>
          <w:sz w:val="24"/>
          <w:szCs w:val="24"/>
          <w:lang w:eastAsia="pt-BR"/>
        </w:rPr>
      </w:pPr>
    </w:p>
    <w:p w:rsidR="00AD3D40" w:rsidRDefault="00BD1E05" w:rsidP="00CB77E1">
      <w:pPr>
        <w:shd w:val="clear" w:color="auto" w:fill="FFFFFF"/>
        <w:spacing w:after="150" w:line="240" w:lineRule="auto"/>
        <w:textAlignment w:val="baseline"/>
        <w:rPr>
          <w:rFonts w:eastAsia="Times New Roman" w:cs="Arial"/>
          <w:b/>
          <w:bCs/>
          <w:color w:val="222222"/>
          <w:sz w:val="24"/>
          <w:szCs w:val="24"/>
          <w:lang w:eastAsia="pt-BR"/>
        </w:rPr>
      </w:pPr>
      <w:r>
        <w:rPr>
          <w:rFonts w:ascii="Calibri" w:eastAsia="Times New Roman" w:hAnsi="Calibri" w:cs="Times New Roman"/>
          <w:b/>
          <w:bCs/>
          <w:color w:val="222222"/>
          <w:sz w:val="24"/>
          <w:szCs w:val="24"/>
          <w:lang w:eastAsia="pt-BR"/>
        </w:rPr>
        <w:t>FILMES PET</w:t>
      </w:r>
      <w:r w:rsidR="00AD3D40" w:rsidRPr="0087225D">
        <w:rPr>
          <w:rFonts w:ascii="Calibri" w:eastAsia="Times New Roman" w:hAnsi="Calibri" w:cs="Times New Roman"/>
          <w:b/>
          <w:bCs/>
          <w:color w:val="222222"/>
          <w:sz w:val="24"/>
          <w:szCs w:val="24"/>
          <w:lang w:eastAsia="pt-BR"/>
        </w:rPr>
        <w:t xml:space="preserve"> (NCM </w:t>
      </w:r>
      <w:r>
        <w:rPr>
          <w:rFonts w:ascii="Calibri" w:eastAsia="Times New Roman" w:hAnsi="Calibri" w:cs="Times New Roman"/>
          <w:b/>
          <w:bCs/>
          <w:color w:val="222222"/>
          <w:sz w:val="24"/>
          <w:szCs w:val="24"/>
          <w:lang w:eastAsia="pt-BR"/>
        </w:rPr>
        <w:t>3920.62.</w:t>
      </w:r>
      <w:r w:rsidR="00F423A2">
        <w:rPr>
          <w:rFonts w:ascii="Calibri" w:eastAsia="Times New Roman" w:hAnsi="Calibri" w:cs="Times New Roman"/>
          <w:b/>
          <w:bCs/>
          <w:color w:val="222222"/>
          <w:sz w:val="24"/>
          <w:szCs w:val="24"/>
          <w:lang w:eastAsia="pt-BR"/>
        </w:rPr>
        <w:t>1</w:t>
      </w:r>
      <w:r>
        <w:rPr>
          <w:rFonts w:ascii="Calibri" w:eastAsia="Times New Roman" w:hAnsi="Calibri" w:cs="Times New Roman"/>
          <w:b/>
          <w:bCs/>
          <w:color w:val="222222"/>
          <w:sz w:val="24"/>
          <w:szCs w:val="24"/>
          <w:lang w:eastAsia="pt-BR"/>
        </w:rPr>
        <w:t>9 E 3920.62.91 E 3920.62.99</w:t>
      </w:r>
      <w:r w:rsidR="00AD3D40" w:rsidRPr="0087225D">
        <w:rPr>
          <w:rFonts w:ascii="Calibri" w:eastAsia="Times New Roman" w:hAnsi="Calibri" w:cs="Times New Roman"/>
          <w:b/>
          <w:bCs/>
          <w:color w:val="000000"/>
          <w:sz w:val="24"/>
          <w:szCs w:val="24"/>
          <w:lang w:eastAsia="pt-BR"/>
        </w:rPr>
        <w:t>)</w:t>
      </w:r>
      <w:r w:rsidR="00AD3D40" w:rsidRPr="0087225D">
        <w:rPr>
          <w:rFonts w:ascii="Calibri" w:eastAsia="Times New Roman" w:hAnsi="Calibri" w:cs="Times New Roman"/>
          <w:color w:val="222222"/>
          <w:sz w:val="24"/>
          <w:szCs w:val="24"/>
          <w:lang w:eastAsia="pt-BR"/>
        </w:rPr>
        <w:t> </w:t>
      </w:r>
    </w:p>
    <w:p w:rsidR="00AD3D40" w:rsidRDefault="00AD3D40" w:rsidP="00F95BED">
      <w:pPr>
        <w:shd w:val="clear" w:color="auto" w:fill="FFFFFF"/>
        <w:spacing w:after="0" w:line="240" w:lineRule="auto"/>
        <w:rPr>
          <w:rFonts w:eastAsia="Times New Roman" w:cs="Arial"/>
          <w:b/>
          <w:bCs/>
          <w:color w:val="222222"/>
          <w:sz w:val="24"/>
          <w:szCs w:val="24"/>
          <w:lang w:eastAsia="pt-BR"/>
        </w:rPr>
      </w:pPr>
    </w:p>
    <w:p w:rsidR="00AD3D40" w:rsidRDefault="00AD3D40" w:rsidP="00F95BED">
      <w:pPr>
        <w:shd w:val="clear" w:color="auto" w:fill="FFFFFF"/>
        <w:spacing w:after="0" w:line="240" w:lineRule="auto"/>
        <w:rPr>
          <w:rFonts w:eastAsia="Times New Roman" w:cs="Arial"/>
          <w:b/>
          <w:bCs/>
          <w:color w:val="222222"/>
          <w:sz w:val="24"/>
          <w:szCs w:val="24"/>
          <w:lang w:eastAsia="pt-BR"/>
        </w:rPr>
      </w:pPr>
    </w:p>
    <w:p w:rsidR="001273E2" w:rsidRDefault="00E04FB7" w:rsidP="00F95BED">
      <w:pPr>
        <w:shd w:val="clear" w:color="auto" w:fill="FFFFFF"/>
        <w:spacing w:after="0" w:line="240" w:lineRule="auto"/>
        <w:rPr>
          <w:rFonts w:eastAsia="Times New Roman" w:cs="Arial"/>
          <w:b/>
          <w:bCs/>
          <w:color w:val="222222"/>
          <w:sz w:val="24"/>
          <w:szCs w:val="24"/>
          <w:lang w:eastAsia="pt-BR"/>
        </w:rPr>
      </w:pPr>
      <w:r w:rsidRPr="00FB0322">
        <w:rPr>
          <w:rFonts w:ascii="Calibri" w:hAnsi="Calibri"/>
          <w:b/>
          <w:bCs/>
          <w:color w:val="222222"/>
          <w:sz w:val="24"/>
          <w:szCs w:val="24"/>
        </w:rPr>
        <w:t>ACIDO CITRICO, CITRATO DE SÓDIO, DE POTÁSSIO, DE CÁLCIO E SUAS MISTURAS (NCM 2918.14.00 E 2918.15.00</w:t>
      </w:r>
      <w:r w:rsidRPr="00FB0322">
        <w:rPr>
          <w:rFonts w:ascii="Calibri" w:hAnsi="Calibri"/>
          <w:b/>
          <w:bCs/>
          <w:color w:val="000000"/>
          <w:sz w:val="24"/>
          <w:szCs w:val="24"/>
        </w:rPr>
        <w:t>)</w:t>
      </w:r>
      <w:r w:rsidRPr="00FB0322">
        <w:rPr>
          <w:rFonts w:ascii="Calibri" w:hAnsi="Calibri"/>
          <w:b/>
          <w:bCs/>
          <w:color w:val="222222"/>
          <w:sz w:val="24"/>
          <w:szCs w:val="24"/>
        </w:rPr>
        <w:t> </w:t>
      </w:r>
      <w:r w:rsidR="00CB77E1">
        <w:rPr>
          <w:rFonts w:eastAsia="Times New Roman" w:cs="Arial"/>
          <w:b/>
          <w:bCs/>
          <w:color w:val="222222"/>
          <w:sz w:val="24"/>
          <w:szCs w:val="24"/>
          <w:lang w:eastAsia="pt-BR"/>
        </w:rPr>
        <w:t xml:space="preserve"> </w:t>
      </w:r>
    </w:p>
    <w:p w:rsidR="001273E2" w:rsidRDefault="001273E2" w:rsidP="00F95BED">
      <w:pPr>
        <w:shd w:val="clear" w:color="auto" w:fill="FFFFFF"/>
        <w:spacing w:after="0" w:line="240" w:lineRule="auto"/>
        <w:rPr>
          <w:rFonts w:eastAsia="Times New Roman" w:cs="Arial"/>
          <w:b/>
          <w:bCs/>
          <w:color w:val="222222"/>
          <w:sz w:val="24"/>
          <w:szCs w:val="24"/>
          <w:lang w:eastAsia="pt-BR"/>
        </w:rPr>
      </w:pPr>
    </w:p>
    <w:p w:rsidR="00F95BED" w:rsidRPr="00A813D2" w:rsidRDefault="00DC6ECB" w:rsidP="00CB77E1">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CADEADOS</w:t>
      </w:r>
      <w:r w:rsidR="00F95BED" w:rsidRPr="00A813D2">
        <w:rPr>
          <w:rFonts w:eastAsia="Times New Roman" w:cs="Arial"/>
          <w:b/>
          <w:bCs/>
          <w:color w:val="222222"/>
          <w:sz w:val="24"/>
          <w:szCs w:val="24"/>
          <w:lang w:eastAsia="pt-BR"/>
        </w:rPr>
        <w:t xml:space="preserve"> (NCM</w:t>
      </w:r>
      <w:r w:rsidR="00F95BED" w:rsidRPr="00F95BED">
        <w:rPr>
          <w:rFonts w:eastAsia="Times New Roman" w:cs="Arial"/>
          <w:b/>
          <w:bCs/>
          <w:color w:val="222222"/>
          <w:sz w:val="24"/>
          <w:szCs w:val="24"/>
          <w:lang w:eastAsia="pt-BR"/>
        </w:rPr>
        <w:t> </w:t>
      </w:r>
      <w:r>
        <w:rPr>
          <w:rFonts w:eastAsia="Times New Roman" w:cs="Arial"/>
          <w:b/>
          <w:bCs/>
          <w:color w:val="222222"/>
          <w:sz w:val="24"/>
          <w:szCs w:val="24"/>
          <w:lang w:eastAsia="pt-BR"/>
        </w:rPr>
        <w:t>8301.10.00</w:t>
      </w:r>
      <w:r w:rsidR="00F95BED" w:rsidRPr="00F95BED">
        <w:rPr>
          <w:rFonts w:eastAsia="Times New Roman" w:cs="Arial"/>
          <w:b/>
          <w:bCs/>
          <w:color w:val="000000"/>
          <w:sz w:val="24"/>
          <w:szCs w:val="24"/>
          <w:lang w:eastAsia="pt-BR"/>
        </w:rPr>
        <w:t>)</w:t>
      </w:r>
      <w:r w:rsidR="00F95BED" w:rsidRPr="00F95BED">
        <w:rPr>
          <w:rFonts w:eastAsia="Times New Roman" w:cs="Arial"/>
          <w:b/>
          <w:color w:val="222222"/>
          <w:sz w:val="24"/>
          <w:szCs w:val="24"/>
          <w:lang w:eastAsia="pt-BR"/>
        </w:rPr>
        <w:t> </w:t>
      </w:r>
      <w:r w:rsidR="00CB77E1" w:rsidRPr="00A813D2">
        <w:rPr>
          <w:rFonts w:eastAsia="Times New Roman" w:cs="Arial"/>
          <w:color w:val="222222"/>
          <w:sz w:val="19"/>
          <w:szCs w:val="19"/>
          <w:lang w:eastAsia="pt-BR"/>
        </w:rPr>
        <w:t xml:space="preserve"> </w:t>
      </w:r>
    </w:p>
    <w:p w:rsidR="004B5094" w:rsidRDefault="004B5094" w:rsidP="004E4E8D">
      <w:pPr>
        <w:shd w:val="clear" w:color="auto" w:fill="FFFFFF"/>
        <w:spacing w:after="0" w:line="240" w:lineRule="auto"/>
        <w:rPr>
          <w:rFonts w:eastAsia="Times New Roman" w:cs="Arial"/>
          <w:b/>
          <w:bCs/>
          <w:color w:val="222222"/>
          <w:sz w:val="24"/>
          <w:szCs w:val="24"/>
          <w:lang w:eastAsia="pt-BR"/>
        </w:rPr>
      </w:pPr>
    </w:p>
    <w:p w:rsidR="004B5094" w:rsidRDefault="004B5094" w:rsidP="004E4E8D">
      <w:pPr>
        <w:shd w:val="clear" w:color="auto" w:fill="FFFFFF"/>
        <w:spacing w:after="0" w:line="240" w:lineRule="auto"/>
        <w:rPr>
          <w:rFonts w:eastAsia="Times New Roman" w:cs="Arial"/>
          <w:b/>
          <w:bCs/>
          <w:color w:val="222222"/>
          <w:sz w:val="24"/>
          <w:szCs w:val="24"/>
          <w:lang w:eastAsia="pt-BR"/>
        </w:rPr>
      </w:pPr>
    </w:p>
    <w:p w:rsidR="00A0419E" w:rsidRDefault="00DC6ECB" w:rsidP="00A0419E">
      <w:pPr>
        <w:shd w:val="clear" w:color="auto" w:fill="FFFFFF"/>
        <w:spacing w:after="0" w:line="240" w:lineRule="auto"/>
        <w:textAlignment w:val="baseline"/>
        <w:rPr>
          <w:rFonts w:eastAsia="Times New Roman" w:cs="Arial"/>
          <w:b/>
          <w:bCs/>
          <w:color w:val="222222"/>
          <w:sz w:val="24"/>
          <w:szCs w:val="24"/>
          <w:lang w:eastAsia="pt-BR"/>
        </w:rPr>
      </w:pPr>
      <w:r w:rsidRPr="0052687F">
        <w:rPr>
          <w:rFonts w:cs="Arial"/>
          <w:b/>
          <w:bCs/>
          <w:color w:val="222222"/>
          <w:sz w:val="24"/>
          <w:szCs w:val="24"/>
          <w:shd w:val="clear" w:color="auto" w:fill="FFFFFF"/>
        </w:rPr>
        <w:t>CA</w:t>
      </w:r>
      <w:r>
        <w:rPr>
          <w:rFonts w:cs="Arial"/>
          <w:b/>
          <w:bCs/>
          <w:color w:val="222222"/>
          <w:sz w:val="24"/>
          <w:szCs w:val="24"/>
          <w:shd w:val="clear" w:color="auto" w:fill="FFFFFF"/>
        </w:rPr>
        <w:t>NETAS</w:t>
      </w:r>
      <w:r w:rsidRPr="0052687F">
        <w:rPr>
          <w:rFonts w:cs="Arial"/>
          <w:b/>
          <w:bCs/>
          <w:color w:val="222222"/>
          <w:sz w:val="24"/>
          <w:szCs w:val="24"/>
          <w:shd w:val="clear" w:color="auto" w:fill="FFFFFF"/>
        </w:rPr>
        <w:t xml:space="preserve"> (NCM </w:t>
      </w:r>
      <w:r>
        <w:rPr>
          <w:rFonts w:cs="Arial"/>
          <w:b/>
          <w:bCs/>
          <w:color w:val="222222"/>
          <w:sz w:val="24"/>
          <w:szCs w:val="24"/>
          <w:shd w:val="clear" w:color="auto" w:fill="FFFFFF"/>
        </w:rPr>
        <w:t>9608.</w:t>
      </w:r>
      <w:r w:rsidRPr="0052687F">
        <w:rPr>
          <w:rFonts w:cs="Arial"/>
          <w:b/>
          <w:bCs/>
          <w:color w:val="222222"/>
          <w:sz w:val="24"/>
          <w:szCs w:val="24"/>
          <w:shd w:val="clear" w:color="auto" w:fill="FFFFFF"/>
        </w:rPr>
        <w:t>10.00) </w:t>
      </w:r>
      <w:r w:rsidR="00CB77E1">
        <w:rPr>
          <w:rFonts w:eastAsia="Times New Roman" w:cs="Arial"/>
          <w:b/>
          <w:bCs/>
          <w:color w:val="222222"/>
          <w:sz w:val="24"/>
          <w:szCs w:val="24"/>
          <w:lang w:eastAsia="pt-BR"/>
        </w:rPr>
        <w:t xml:space="preserve"> </w:t>
      </w:r>
    </w:p>
    <w:p w:rsidR="00A0419E" w:rsidRDefault="00A0419E" w:rsidP="00A0419E">
      <w:pPr>
        <w:shd w:val="clear" w:color="auto" w:fill="FFFFFF"/>
        <w:spacing w:after="0" w:line="240" w:lineRule="auto"/>
        <w:textAlignment w:val="baseline"/>
        <w:rPr>
          <w:rFonts w:eastAsia="Times New Roman" w:cs="Arial"/>
          <w:b/>
          <w:bCs/>
          <w:color w:val="222222"/>
          <w:sz w:val="24"/>
          <w:szCs w:val="24"/>
          <w:lang w:eastAsia="pt-BR"/>
        </w:rPr>
      </w:pPr>
    </w:p>
    <w:p w:rsidR="00A0419E" w:rsidRDefault="00A0419E" w:rsidP="00CB77E1">
      <w:pPr>
        <w:shd w:val="clear" w:color="auto" w:fill="FFFFFF"/>
        <w:spacing w:after="0" w:line="240" w:lineRule="auto"/>
        <w:textAlignment w:val="baseline"/>
        <w:rPr>
          <w:rFonts w:eastAsia="Times New Roman" w:cs="Arial"/>
          <w:b/>
          <w:bCs/>
          <w:color w:val="222222"/>
          <w:sz w:val="24"/>
          <w:szCs w:val="24"/>
          <w:lang w:eastAsia="pt-BR"/>
        </w:rPr>
      </w:pPr>
      <w:r>
        <w:rPr>
          <w:rFonts w:eastAsia="Times New Roman" w:cs="Arial"/>
          <w:b/>
          <w:bCs/>
          <w:color w:val="222222"/>
          <w:sz w:val="24"/>
          <w:szCs w:val="24"/>
          <w:lang w:eastAsia="pt-BR"/>
        </w:rPr>
        <w:t>CILINDROS DE LAMINAÇÃO DE FERRO OU AÇO</w:t>
      </w:r>
      <w:r w:rsidRPr="00A813D2">
        <w:rPr>
          <w:rFonts w:eastAsia="Times New Roman" w:cs="Arial"/>
          <w:b/>
          <w:bCs/>
          <w:color w:val="222222"/>
          <w:sz w:val="24"/>
          <w:szCs w:val="24"/>
          <w:lang w:eastAsia="pt-BR"/>
        </w:rPr>
        <w:t xml:space="preserve"> (NCM</w:t>
      </w:r>
      <w:r w:rsidRPr="00F95BED">
        <w:rPr>
          <w:rFonts w:eastAsia="Times New Roman" w:cs="Arial"/>
          <w:b/>
          <w:bCs/>
          <w:color w:val="222222"/>
          <w:sz w:val="24"/>
          <w:szCs w:val="24"/>
          <w:lang w:eastAsia="pt-BR"/>
        </w:rPr>
        <w:t> </w:t>
      </w:r>
      <w:r>
        <w:rPr>
          <w:rFonts w:eastAsia="Times New Roman" w:cs="Arial"/>
          <w:b/>
          <w:bCs/>
          <w:color w:val="222222"/>
          <w:sz w:val="24"/>
          <w:szCs w:val="24"/>
          <w:lang w:eastAsia="pt-BR"/>
        </w:rPr>
        <w:t xml:space="preserve">8455.30.10 </w:t>
      </w:r>
      <w:r w:rsidR="008A416C">
        <w:rPr>
          <w:rFonts w:eastAsia="Times New Roman" w:cs="Arial"/>
          <w:b/>
          <w:bCs/>
          <w:color w:val="222222"/>
          <w:sz w:val="24"/>
          <w:szCs w:val="24"/>
          <w:lang w:eastAsia="pt-BR"/>
        </w:rPr>
        <w:t>E</w:t>
      </w:r>
      <w:r>
        <w:rPr>
          <w:rFonts w:eastAsia="Times New Roman" w:cs="Arial"/>
          <w:b/>
          <w:bCs/>
          <w:color w:val="222222"/>
          <w:sz w:val="24"/>
          <w:szCs w:val="24"/>
          <w:lang w:eastAsia="pt-BR"/>
        </w:rPr>
        <w:t xml:space="preserve"> 8455.30.90</w:t>
      </w:r>
      <w:r w:rsidRPr="00F95BED">
        <w:rPr>
          <w:rFonts w:eastAsia="Times New Roman" w:cs="Arial"/>
          <w:b/>
          <w:bCs/>
          <w:color w:val="000000"/>
          <w:sz w:val="24"/>
          <w:szCs w:val="24"/>
          <w:lang w:eastAsia="pt-BR"/>
        </w:rPr>
        <w:t>)</w:t>
      </w:r>
      <w:r w:rsidRPr="00F95BED">
        <w:rPr>
          <w:rFonts w:eastAsia="Times New Roman" w:cs="Arial"/>
          <w:b/>
          <w:color w:val="222222"/>
          <w:sz w:val="24"/>
          <w:szCs w:val="24"/>
          <w:lang w:eastAsia="pt-BR"/>
        </w:rPr>
        <w:t> </w:t>
      </w:r>
    </w:p>
    <w:p w:rsidR="00A0419E" w:rsidRDefault="00A0419E" w:rsidP="004E4E8D">
      <w:pPr>
        <w:shd w:val="clear" w:color="auto" w:fill="FFFFFF"/>
        <w:spacing w:after="0" w:line="240" w:lineRule="auto"/>
        <w:rPr>
          <w:rFonts w:eastAsia="Times New Roman" w:cs="Arial"/>
          <w:b/>
          <w:bCs/>
          <w:color w:val="222222"/>
          <w:sz w:val="24"/>
          <w:szCs w:val="24"/>
          <w:lang w:eastAsia="pt-BR"/>
        </w:rPr>
      </w:pPr>
    </w:p>
    <w:p w:rsidR="00A0419E" w:rsidRDefault="00875E00" w:rsidP="00CB77E1">
      <w:pPr>
        <w:shd w:val="clear" w:color="auto" w:fill="FFFFFF"/>
        <w:spacing w:after="0" w:line="240" w:lineRule="auto"/>
        <w:textAlignment w:val="baseline"/>
        <w:rPr>
          <w:rFonts w:eastAsia="Times New Roman" w:cs="Arial"/>
          <w:b/>
          <w:bCs/>
          <w:color w:val="222222"/>
          <w:sz w:val="24"/>
          <w:szCs w:val="24"/>
          <w:lang w:eastAsia="pt-BR"/>
        </w:rPr>
      </w:pPr>
      <w:r>
        <w:rPr>
          <w:rFonts w:eastAsia="Times New Roman" w:cs="Arial"/>
          <w:b/>
          <w:bCs/>
          <w:color w:val="222222"/>
          <w:sz w:val="24"/>
          <w:szCs w:val="24"/>
          <w:lang w:eastAsia="pt-BR"/>
        </w:rPr>
        <w:t xml:space="preserve">LEITE </w:t>
      </w:r>
      <w:proofErr w:type="gramStart"/>
      <w:r>
        <w:rPr>
          <w:rFonts w:eastAsia="Times New Roman" w:cs="Arial"/>
          <w:b/>
          <w:bCs/>
          <w:color w:val="222222"/>
          <w:sz w:val="24"/>
          <w:szCs w:val="24"/>
          <w:lang w:eastAsia="pt-BR"/>
        </w:rPr>
        <w:t>EM  PÓ</w:t>
      </w:r>
      <w:proofErr w:type="gramEnd"/>
      <w:r>
        <w:rPr>
          <w:rFonts w:eastAsia="Times New Roman" w:cs="Arial"/>
          <w:b/>
          <w:bCs/>
          <w:color w:val="222222"/>
          <w:sz w:val="24"/>
          <w:szCs w:val="24"/>
          <w:lang w:eastAsia="pt-BR"/>
        </w:rPr>
        <w:t xml:space="preserve"> INTEGRAL, DESNATADO (</w:t>
      </w:r>
      <w:r w:rsidR="00A0419E" w:rsidRPr="00A813D2">
        <w:rPr>
          <w:rFonts w:eastAsia="Times New Roman" w:cs="Arial"/>
          <w:b/>
          <w:bCs/>
          <w:color w:val="222222"/>
          <w:sz w:val="24"/>
          <w:szCs w:val="24"/>
          <w:lang w:eastAsia="pt-BR"/>
        </w:rPr>
        <w:t>NCM</w:t>
      </w:r>
      <w:r w:rsidR="00A0419E" w:rsidRPr="00F95BED">
        <w:rPr>
          <w:rFonts w:eastAsia="Times New Roman" w:cs="Arial"/>
          <w:b/>
          <w:bCs/>
          <w:color w:val="222222"/>
          <w:sz w:val="24"/>
          <w:szCs w:val="24"/>
          <w:lang w:eastAsia="pt-BR"/>
        </w:rPr>
        <w:t> </w:t>
      </w:r>
      <w:r w:rsidRPr="00875E00">
        <w:rPr>
          <w:rFonts w:eastAsia="Times New Roman" w:cs="Arial"/>
          <w:b/>
          <w:color w:val="162937"/>
          <w:sz w:val="24"/>
          <w:szCs w:val="24"/>
          <w:shd w:val="clear" w:color="auto" w:fill="FFFFFF"/>
          <w:lang w:eastAsia="pt-BR"/>
        </w:rPr>
        <w:t>0402.10.10, 0402.10.90, 0402.21.10, 0402.21.20, 0402.29.10 e 0402.29.20</w:t>
      </w:r>
      <w:r w:rsidR="00A0419E" w:rsidRPr="00F95BED">
        <w:rPr>
          <w:rFonts w:eastAsia="Times New Roman" w:cs="Arial"/>
          <w:b/>
          <w:bCs/>
          <w:color w:val="000000"/>
          <w:sz w:val="24"/>
          <w:szCs w:val="24"/>
          <w:lang w:eastAsia="pt-BR"/>
        </w:rPr>
        <w:t>)</w:t>
      </w:r>
    </w:p>
    <w:p w:rsidR="004B5094" w:rsidRDefault="004B5094" w:rsidP="004E4E8D">
      <w:pPr>
        <w:shd w:val="clear" w:color="auto" w:fill="FFFFFF"/>
        <w:spacing w:after="0" w:line="240" w:lineRule="auto"/>
        <w:rPr>
          <w:rFonts w:eastAsia="Times New Roman" w:cs="Arial"/>
          <w:b/>
          <w:bCs/>
          <w:color w:val="222222"/>
          <w:sz w:val="24"/>
          <w:szCs w:val="24"/>
          <w:lang w:eastAsia="pt-BR"/>
        </w:rPr>
      </w:pPr>
    </w:p>
    <w:p w:rsidR="004B5094" w:rsidRDefault="004B5094" w:rsidP="004E4E8D">
      <w:pPr>
        <w:shd w:val="clear" w:color="auto" w:fill="FFFFFF"/>
        <w:spacing w:after="0" w:line="240" w:lineRule="auto"/>
        <w:rPr>
          <w:rFonts w:eastAsia="Times New Roman" w:cs="Arial"/>
          <w:b/>
          <w:bCs/>
          <w:color w:val="222222"/>
          <w:sz w:val="24"/>
          <w:szCs w:val="24"/>
          <w:lang w:eastAsia="pt-BR"/>
        </w:rPr>
      </w:pPr>
    </w:p>
    <w:p w:rsidR="00C71531" w:rsidRPr="00A813D2" w:rsidRDefault="00AD3D40" w:rsidP="00CB77E1">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ESCOVAS DE CABELO</w:t>
      </w:r>
      <w:r w:rsidR="00C71531" w:rsidRPr="00A813D2">
        <w:rPr>
          <w:rFonts w:eastAsia="Times New Roman" w:cs="Arial"/>
          <w:b/>
          <w:bCs/>
          <w:color w:val="222222"/>
          <w:sz w:val="24"/>
          <w:szCs w:val="24"/>
          <w:lang w:eastAsia="pt-BR"/>
        </w:rPr>
        <w:t xml:space="preserve"> (NCM</w:t>
      </w:r>
      <w:r w:rsidR="00C71531" w:rsidRPr="00F95BED">
        <w:rPr>
          <w:rFonts w:eastAsia="Times New Roman" w:cs="Arial"/>
          <w:b/>
          <w:bCs/>
          <w:color w:val="222222"/>
          <w:sz w:val="24"/>
          <w:szCs w:val="24"/>
          <w:lang w:eastAsia="pt-BR"/>
        </w:rPr>
        <w:t> </w:t>
      </w:r>
      <w:r>
        <w:rPr>
          <w:rFonts w:eastAsia="Times New Roman" w:cs="Arial"/>
          <w:b/>
          <w:bCs/>
          <w:color w:val="222222"/>
          <w:sz w:val="24"/>
          <w:szCs w:val="24"/>
          <w:lang w:eastAsia="pt-BR"/>
        </w:rPr>
        <w:t>9603.29.00</w:t>
      </w:r>
      <w:r w:rsidR="00C71531" w:rsidRPr="00F95BED">
        <w:rPr>
          <w:rFonts w:eastAsia="Times New Roman" w:cs="Arial"/>
          <w:b/>
          <w:bCs/>
          <w:color w:val="000000"/>
          <w:sz w:val="24"/>
          <w:szCs w:val="24"/>
          <w:lang w:eastAsia="pt-BR"/>
        </w:rPr>
        <w:t>)</w:t>
      </w:r>
      <w:r w:rsidR="00CB77E1" w:rsidRPr="00A813D2">
        <w:rPr>
          <w:rFonts w:eastAsia="Times New Roman" w:cs="Arial"/>
          <w:color w:val="222222"/>
          <w:sz w:val="19"/>
          <w:szCs w:val="19"/>
          <w:lang w:eastAsia="pt-BR"/>
        </w:rPr>
        <w:t xml:space="preserve"> </w:t>
      </w:r>
    </w:p>
    <w:p w:rsidR="000211A4" w:rsidRDefault="000211A4" w:rsidP="00292FEE">
      <w:pPr>
        <w:rPr>
          <w:sz w:val="24"/>
          <w:szCs w:val="24"/>
        </w:rPr>
      </w:pPr>
    </w:p>
    <w:p w:rsidR="008B7506" w:rsidRDefault="008B7506" w:rsidP="00D94C48">
      <w:pPr>
        <w:shd w:val="clear" w:color="auto" w:fill="FFFFFF"/>
        <w:spacing w:after="0" w:line="240" w:lineRule="auto"/>
        <w:rPr>
          <w:rFonts w:ascii="Calibri" w:eastAsia="Times New Roman" w:hAnsi="Calibri" w:cs="Times New Roman"/>
          <w:color w:val="222222"/>
          <w:sz w:val="24"/>
          <w:szCs w:val="24"/>
          <w:lang w:eastAsia="pt-BR"/>
        </w:rPr>
      </w:pPr>
    </w:p>
    <w:p w:rsidR="00BD1E05" w:rsidRPr="00A813D2" w:rsidRDefault="00F423A2" w:rsidP="00CB77E1">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ALTOS-FALANTES</w:t>
      </w:r>
      <w:r w:rsidR="00BD1E05" w:rsidRPr="00A813D2">
        <w:rPr>
          <w:rFonts w:eastAsia="Times New Roman" w:cs="Arial"/>
          <w:b/>
          <w:bCs/>
          <w:color w:val="222222"/>
          <w:sz w:val="24"/>
          <w:szCs w:val="24"/>
          <w:lang w:eastAsia="pt-BR"/>
        </w:rPr>
        <w:t xml:space="preserve"> (NCM</w:t>
      </w:r>
      <w:r w:rsidR="00BD1E05" w:rsidRPr="00F95BED">
        <w:rPr>
          <w:rFonts w:eastAsia="Times New Roman" w:cs="Arial"/>
          <w:b/>
          <w:bCs/>
          <w:color w:val="222222"/>
          <w:sz w:val="24"/>
          <w:szCs w:val="24"/>
          <w:lang w:eastAsia="pt-BR"/>
        </w:rPr>
        <w:t> </w:t>
      </w:r>
      <w:r>
        <w:rPr>
          <w:rFonts w:eastAsia="Times New Roman" w:cs="Arial"/>
          <w:b/>
          <w:bCs/>
          <w:color w:val="222222"/>
          <w:sz w:val="24"/>
          <w:szCs w:val="24"/>
          <w:lang w:eastAsia="pt-BR"/>
        </w:rPr>
        <w:t>8518.21.00, 8518.22.00 E 8518.29.90</w:t>
      </w:r>
      <w:r w:rsidR="00BD1E05" w:rsidRPr="00F95BED">
        <w:rPr>
          <w:rFonts w:eastAsia="Times New Roman" w:cs="Arial"/>
          <w:b/>
          <w:bCs/>
          <w:color w:val="000000"/>
          <w:sz w:val="24"/>
          <w:szCs w:val="24"/>
          <w:lang w:eastAsia="pt-BR"/>
        </w:rPr>
        <w:t>)</w:t>
      </w:r>
      <w:r w:rsidR="00CB77E1" w:rsidRPr="00A813D2">
        <w:rPr>
          <w:rFonts w:eastAsia="Times New Roman" w:cs="Arial"/>
          <w:color w:val="222222"/>
          <w:sz w:val="19"/>
          <w:szCs w:val="19"/>
          <w:lang w:eastAsia="pt-BR"/>
        </w:rPr>
        <w:t xml:space="preserve"> </w:t>
      </w:r>
    </w:p>
    <w:p w:rsidR="004F777B" w:rsidRDefault="004F777B" w:rsidP="004F777B">
      <w:pPr>
        <w:shd w:val="clear" w:color="auto" w:fill="FFFFFF"/>
        <w:spacing w:after="0" w:line="240" w:lineRule="auto"/>
        <w:jc w:val="center"/>
        <w:rPr>
          <w:b/>
          <w:sz w:val="48"/>
          <w:szCs w:val="48"/>
        </w:rPr>
      </w:pPr>
      <w:r w:rsidRPr="00654A76">
        <w:rPr>
          <w:b/>
          <w:sz w:val="48"/>
          <w:szCs w:val="48"/>
        </w:rPr>
        <w:lastRenderedPageBreak/>
        <w:t>ANEXO</w:t>
      </w:r>
    </w:p>
    <w:p w:rsidR="001273E2" w:rsidRDefault="001273E2" w:rsidP="004F777B">
      <w:pPr>
        <w:shd w:val="clear" w:color="auto" w:fill="FFFFFF"/>
        <w:spacing w:after="0" w:line="240" w:lineRule="auto"/>
        <w:jc w:val="center"/>
        <w:rPr>
          <w:b/>
          <w:sz w:val="48"/>
          <w:szCs w:val="48"/>
        </w:rPr>
      </w:pPr>
    </w:p>
    <w:p w:rsidR="00DF17A2" w:rsidRPr="001273E2" w:rsidRDefault="00DF17A2" w:rsidP="001273E2">
      <w:pPr>
        <w:pStyle w:val="NormalWeb"/>
        <w:spacing w:before="0" w:beforeAutospacing="0" w:after="0" w:afterAutospacing="0" w:line="420" w:lineRule="atLeast"/>
        <w:jc w:val="both"/>
        <w:textAlignment w:val="baseline"/>
        <w:rPr>
          <w:rFonts w:asciiTheme="minorHAnsi" w:hAnsiTheme="minorHAnsi"/>
          <w:color w:val="000000"/>
        </w:rPr>
      </w:pPr>
      <w:r w:rsidRPr="001273E2">
        <w:rPr>
          <w:rStyle w:val="Forte"/>
          <w:rFonts w:asciiTheme="minorHAnsi" w:hAnsiTheme="minorHAnsi"/>
          <w:color w:val="000000"/>
        </w:rPr>
        <w:t>RESOLUÇÃO Nº 83, DE 09 DE NOVEMBRO DE 2018</w:t>
      </w:r>
    </w:p>
    <w:p w:rsidR="00DF17A2" w:rsidRPr="001273E2" w:rsidRDefault="00DF17A2" w:rsidP="001273E2">
      <w:pPr>
        <w:pStyle w:val="NormalWeb"/>
        <w:spacing w:before="0" w:beforeAutospacing="0" w:after="150" w:afterAutospacing="0" w:line="420" w:lineRule="atLeast"/>
        <w:jc w:val="both"/>
        <w:textAlignment w:val="baseline"/>
        <w:rPr>
          <w:rFonts w:asciiTheme="minorHAnsi" w:hAnsiTheme="minorHAnsi"/>
          <w:color w:val="000000"/>
        </w:rPr>
      </w:pPr>
      <w:r w:rsidRPr="001273E2">
        <w:rPr>
          <w:rFonts w:asciiTheme="minorHAnsi" w:hAnsiTheme="minorHAnsi"/>
          <w:color w:val="000000"/>
        </w:rPr>
        <w:t>(Publicada no D.O.U em 12/11/2018)</w:t>
      </w:r>
    </w:p>
    <w:p w:rsidR="00DF17A2" w:rsidRPr="001273E2" w:rsidRDefault="00DF17A2" w:rsidP="001273E2">
      <w:pPr>
        <w:pStyle w:val="NormalWeb"/>
        <w:spacing w:before="0" w:beforeAutospacing="0" w:after="150" w:afterAutospacing="0" w:line="420" w:lineRule="atLeast"/>
        <w:jc w:val="both"/>
        <w:textAlignment w:val="baseline"/>
        <w:rPr>
          <w:rFonts w:asciiTheme="minorHAnsi" w:hAnsiTheme="minorHAnsi"/>
          <w:color w:val="000000"/>
        </w:rPr>
      </w:pPr>
      <w:r w:rsidRPr="001273E2">
        <w:rPr>
          <w:rFonts w:asciiTheme="minorHAnsi" w:hAnsiTheme="minorHAnsi"/>
          <w:color w:val="000000"/>
        </w:rPr>
        <w:t xml:space="preserve">Instaura processo de avaliação de interesse público, pelo Grupo Técnico de Avaliação de Interesse Público – </w:t>
      </w:r>
      <w:proofErr w:type="spellStart"/>
      <w:r w:rsidRPr="001273E2">
        <w:rPr>
          <w:rFonts w:asciiTheme="minorHAnsi" w:hAnsiTheme="minorHAnsi"/>
          <w:color w:val="000000"/>
        </w:rPr>
        <w:t>Gtip</w:t>
      </w:r>
      <w:proofErr w:type="spellEnd"/>
      <w:r w:rsidRPr="001273E2">
        <w:rPr>
          <w:rFonts w:asciiTheme="minorHAnsi" w:hAnsiTheme="minorHAnsi"/>
          <w:color w:val="000000"/>
        </w:rPr>
        <w:t>, referente à aplicação de direito antidumping definitivo e investigação em curso para aplicação de medida compensatória sobre as importações brasileiras de corpos moedores em ferro fundido e/ou aço ligado ao cromo, para aplicação em moinhos, originárias da Índia.</w:t>
      </w:r>
    </w:p>
    <w:p w:rsidR="00DF17A2" w:rsidRPr="001273E2" w:rsidRDefault="00DF17A2" w:rsidP="001273E2">
      <w:pPr>
        <w:pStyle w:val="NormalWeb"/>
        <w:spacing w:before="0" w:beforeAutospacing="0" w:after="0" w:afterAutospacing="0" w:line="420" w:lineRule="atLeast"/>
        <w:jc w:val="both"/>
        <w:textAlignment w:val="baseline"/>
        <w:rPr>
          <w:rFonts w:asciiTheme="minorHAnsi" w:hAnsiTheme="minorHAnsi"/>
          <w:color w:val="000000"/>
        </w:rPr>
      </w:pPr>
      <w:r w:rsidRPr="001273E2">
        <w:rPr>
          <w:rStyle w:val="Forte"/>
          <w:rFonts w:asciiTheme="minorHAnsi" w:hAnsiTheme="minorHAnsi"/>
          <w:color w:val="000000"/>
        </w:rPr>
        <w:t>O COMITÊ EXECUTIVO DE GESTÃO DA CÂMARA DE COMÉRCIO EXTERIOR</w:t>
      </w:r>
      <w:r w:rsidRPr="001273E2">
        <w:rPr>
          <w:rFonts w:asciiTheme="minorHAnsi" w:hAnsiTheme="minorHAnsi"/>
          <w:color w:val="000000"/>
        </w:rPr>
        <w:t>, no uso da atribuições que lhe conferem o art. 2º, VIII, e o art. 5º, § 4º, inciso II, ambos do Decreto nº 4.732, de 10 de junho de 2003, com fundamento no art. 3º, § 5º, do Decreto nº 8.058, de 26 de julho de 2013, no art. 73, § 3º, do Decreto nº 1.751, de 19 de dezembro de 1995,  e no art. 7º da Resolução CAMEX n° 29, de 7 de abril de 2017, tendo em vista a deliberação de sua 161ª reunião, realizada em 23 de outubro de 2018, o que consta Nota Técnica SEI nº 25/2018/COPOL/SUREC/SAIN-MF, de 19 de setembro de 2018,</w:t>
      </w:r>
    </w:p>
    <w:p w:rsidR="00DF17A2" w:rsidRPr="001273E2" w:rsidRDefault="00DF17A2" w:rsidP="001273E2">
      <w:pPr>
        <w:pStyle w:val="NormalWeb"/>
        <w:spacing w:before="0" w:beforeAutospacing="0" w:after="0" w:afterAutospacing="0" w:line="420" w:lineRule="atLeast"/>
        <w:jc w:val="both"/>
        <w:textAlignment w:val="baseline"/>
        <w:rPr>
          <w:rFonts w:asciiTheme="minorHAnsi" w:hAnsiTheme="minorHAnsi"/>
          <w:color w:val="000000"/>
        </w:rPr>
      </w:pPr>
      <w:r w:rsidRPr="001273E2">
        <w:rPr>
          <w:rStyle w:val="Forte"/>
          <w:rFonts w:asciiTheme="minorHAnsi" w:hAnsiTheme="minorHAnsi"/>
          <w:color w:val="000000"/>
        </w:rPr>
        <w:t>RESOLVEU, ad referendum </w:t>
      </w:r>
      <w:r w:rsidRPr="001273E2">
        <w:rPr>
          <w:rFonts w:asciiTheme="minorHAnsi" w:hAnsiTheme="minorHAnsi"/>
          <w:color w:val="000000"/>
        </w:rPr>
        <w:t>do Conselho de Ministros:</w:t>
      </w:r>
    </w:p>
    <w:p w:rsidR="00DF17A2" w:rsidRPr="001273E2" w:rsidRDefault="00DF17A2" w:rsidP="001273E2">
      <w:pPr>
        <w:pStyle w:val="NormalWeb"/>
        <w:spacing w:before="0" w:beforeAutospacing="0" w:after="150" w:afterAutospacing="0" w:line="420" w:lineRule="atLeast"/>
        <w:jc w:val="both"/>
        <w:textAlignment w:val="baseline"/>
        <w:rPr>
          <w:rFonts w:asciiTheme="minorHAnsi" w:hAnsiTheme="minorHAnsi"/>
          <w:color w:val="000000"/>
        </w:rPr>
      </w:pPr>
      <w:r w:rsidRPr="001273E2">
        <w:rPr>
          <w:rFonts w:asciiTheme="minorHAnsi" w:hAnsiTheme="minorHAnsi"/>
          <w:color w:val="000000"/>
        </w:rPr>
        <w:t xml:space="preserve">Art. 1º Fica instaurado processo de avaliação de interesse público pelo Grupo Técnico de Avaliação de Interesse Público – </w:t>
      </w:r>
      <w:proofErr w:type="spellStart"/>
      <w:r w:rsidRPr="001273E2">
        <w:rPr>
          <w:rFonts w:asciiTheme="minorHAnsi" w:hAnsiTheme="minorHAnsi"/>
          <w:color w:val="000000"/>
        </w:rPr>
        <w:t>Gtip</w:t>
      </w:r>
      <w:proofErr w:type="spellEnd"/>
      <w:r w:rsidRPr="001273E2">
        <w:rPr>
          <w:rFonts w:asciiTheme="minorHAnsi" w:hAnsiTheme="minorHAnsi"/>
          <w:color w:val="000000"/>
        </w:rPr>
        <w:t>, referente à aplicação de direito antidumping e investigação em curso para aplicação de medida compensatória sobre as importações brasileiras de corpos moedores em ferro fundido e/ou aço ligado ao cromo, para aplicação em moinhos, com percentual de cromo de 17,6 a 22 e diâmetro de 57 a 64 mm, percentual de cromo de 22 a 28 e diâmetro de 11 a 28 mm, e percentual de cromo de 28 a 32 e diâmetro de 22 a 35 mm, comumente classificados no subitem 7325.91.00 da Nomenclatura Comum do Mercosul – NCM, originárias da Índia.</w:t>
      </w:r>
    </w:p>
    <w:p w:rsidR="00DF17A2" w:rsidRPr="001273E2" w:rsidRDefault="00DF17A2" w:rsidP="001273E2">
      <w:pPr>
        <w:pStyle w:val="NormalWeb"/>
        <w:spacing w:before="0" w:beforeAutospacing="0" w:after="150" w:afterAutospacing="0" w:line="420" w:lineRule="atLeast"/>
        <w:jc w:val="both"/>
        <w:textAlignment w:val="baseline"/>
        <w:rPr>
          <w:rFonts w:asciiTheme="minorHAnsi" w:hAnsiTheme="minorHAnsi"/>
          <w:color w:val="000000"/>
        </w:rPr>
      </w:pPr>
      <w:r w:rsidRPr="001273E2">
        <w:rPr>
          <w:rFonts w:asciiTheme="minorHAnsi" w:hAnsiTheme="minorHAnsi"/>
          <w:color w:val="000000"/>
        </w:rPr>
        <w:t>Art. 2º Esta Resolução entra em vigor na data de sua publicação.</w:t>
      </w:r>
    </w:p>
    <w:p w:rsidR="00DF17A2" w:rsidRPr="001273E2" w:rsidRDefault="00DF17A2" w:rsidP="001273E2">
      <w:pPr>
        <w:pStyle w:val="NormalWeb"/>
        <w:spacing w:before="0" w:beforeAutospacing="0" w:after="0" w:afterAutospacing="0" w:line="420" w:lineRule="atLeast"/>
        <w:jc w:val="both"/>
        <w:textAlignment w:val="baseline"/>
        <w:rPr>
          <w:rFonts w:asciiTheme="minorHAnsi" w:hAnsiTheme="minorHAnsi"/>
          <w:color w:val="000000"/>
        </w:rPr>
      </w:pPr>
      <w:r w:rsidRPr="001273E2">
        <w:rPr>
          <w:rStyle w:val="Forte"/>
          <w:rFonts w:asciiTheme="minorHAnsi" w:hAnsiTheme="minorHAnsi"/>
          <w:color w:val="000000"/>
        </w:rPr>
        <w:t>MARCOS JORGE DE LIMA</w:t>
      </w:r>
    </w:p>
    <w:p w:rsidR="00DF17A2" w:rsidRPr="001273E2" w:rsidRDefault="00DF17A2" w:rsidP="001273E2">
      <w:pPr>
        <w:pStyle w:val="NormalWeb"/>
        <w:spacing w:before="0" w:beforeAutospacing="0" w:after="0" w:afterAutospacing="0" w:line="420" w:lineRule="atLeast"/>
        <w:jc w:val="both"/>
        <w:textAlignment w:val="baseline"/>
        <w:rPr>
          <w:rFonts w:asciiTheme="minorHAnsi" w:hAnsiTheme="minorHAnsi"/>
          <w:color w:val="000000"/>
        </w:rPr>
      </w:pPr>
      <w:bookmarkStart w:id="0" w:name="_Toc360796362"/>
      <w:bookmarkEnd w:id="0"/>
      <w:r w:rsidRPr="001273E2">
        <w:rPr>
          <w:rFonts w:asciiTheme="minorHAnsi" w:hAnsiTheme="minorHAnsi"/>
          <w:color w:val="000000"/>
        </w:rPr>
        <w:t>Presidente do Comitê Executivo de Gestão</w:t>
      </w:r>
    </w:p>
    <w:p w:rsidR="007D2E63" w:rsidRPr="001273E2" w:rsidRDefault="007D2E63" w:rsidP="001273E2">
      <w:pPr>
        <w:pStyle w:val="NormalWeb"/>
        <w:spacing w:before="0" w:beforeAutospacing="0" w:after="0" w:afterAutospacing="0" w:line="420" w:lineRule="atLeast"/>
        <w:jc w:val="both"/>
        <w:textAlignment w:val="baseline"/>
        <w:rPr>
          <w:rFonts w:asciiTheme="minorHAnsi" w:hAnsiTheme="minorHAnsi"/>
          <w:color w:val="000000"/>
        </w:rPr>
      </w:pPr>
    </w:p>
    <w:p w:rsidR="007D2E63" w:rsidRPr="001273E2" w:rsidRDefault="007D2E63" w:rsidP="001273E2">
      <w:pPr>
        <w:pStyle w:val="NormalWeb"/>
        <w:spacing w:before="0" w:beforeAutospacing="0" w:after="0" w:afterAutospacing="0" w:line="420" w:lineRule="atLeast"/>
        <w:jc w:val="both"/>
        <w:textAlignment w:val="baseline"/>
        <w:rPr>
          <w:rFonts w:asciiTheme="minorHAnsi" w:hAnsiTheme="minorHAnsi"/>
          <w:color w:val="000000"/>
        </w:rPr>
      </w:pPr>
    </w:p>
    <w:p w:rsidR="007D2E63" w:rsidRPr="001273E2" w:rsidRDefault="007D2E63" w:rsidP="001273E2">
      <w:pPr>
        <w:pStyle w:val="NormalWeb"/>
        <w:spacing w:before="0" w:beforeAutospacing="0" w:after="0" w:afterAutospacing="0" w:line="420" w:lineRule="atLeast"/>
        <w:jc w:val="both"/>
        <w:textAlignment w:val="baseline"/>
        <w:rPr>
          <w:rFonts w:asciiTheme="minorHAnsi" w:hAnsiTheme="minorHAnsi"/>
        </w:rPr>
      </w:pPr>
      <w:r w:rsidRPr="001273E2">
        <w:rPr>
          <w:rFonts w:asciiTheme="minorHAnsi" w:hAnsiTheme="minorHAnsi"/>
        </w:rPr>
        <w:lastRenderedPageBreak/>
        <w:t xml:space="preserve">CIRCULAR No 52, DE 12 DE NOVEMBRO DE 2018 (Publicada no D.O.U. de 13/11/2018) O SECRETÁRIO DE COMÉRCIO EXTERIOR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 o 82, de 17 de outubro de 2017, publicada no Diário Oficial da União – D.O.U. de 18 de outubro de 2017, que homologou compromisso de preços, nos termos constantes dos Anexos I e II da Resolução no 82, de 2017, para amparar as importações brasileiras de ácido cítrico, citrato de sódio, citrato de potássio, citrato de cálcio e suas misturas, comumente classificados nos itens 2918.14.00 e 2918.15.00 da Nomenclatura Comum do MERCOSUL - NCM, fabricado pelas empresas COFCO </w:t>
      </w:r>
      <w:proofErr w:type="spellStart"/>
      <w:r w:rsidRPr="001273E2">
        <w:rPr>
          <w:rFonts w:asciiTheme="minorHAnsi" w:hAnsiTheme="minorHAnsi"/>
        </w:rPr>
        <w:t>Biochemical</w:t>
      </w:r>
      <w:proofErr w:type="spellEnd"/>
      <w:r w:rsidRPr="001273E2">
        <w:rPr>
          <w:rFonts w:asciiTheme="minorHAnsi" w:hAnsiTheme="minorHAnsi"/>
        </w:rPr>
        <w:t xml:space="preserve"> (</w:t>
      </w:r>
      <w:proofErr w:type="spellStart"/>
      <w:r w:rsidRPr="001273E2">
        <w:rPr>
          <w:rFonts w:asciiTheme="minorHAnsi" w:hAnsiTheme="minorHAnsi"/>
        </w:rPr>
        <w:t>Anhui</w:t>
      </w:r>
      <w:proofErr w:type="spellEnd"/>
      <w:r w:rsidRPr="001273E2">
        <w:rPr>
          <w:rFonts w:asciiTheme="minorHAnsi" w:hAnsiTheme="minorHAnsi"/>
        </w:rPr>
        <w:t xml:space="preserve">), COFCO </w:t>
      </w:r>
      <w:proofErr w:type="spellStart"/>
      <w:r w:rsidRPr="001273E2">
        <w:rPr>
          <w:rFonts w:asciiTheme="minorHAnsi" w:hAnsiTheme="minorHAnsi"/>
        </w:rPr>
        <w:t>Biochemical</w:t>
      </w:r>
      <w:proofErr w:type="spellEnd"/>
      <w:r w:rsidRPr="001273E2">
        <w:rPr>
          <w:rFonts w:asciiTheme="minorHAnsi" w:hAnsiTheme="minorHAnsi"/>
        </w:rPr>
        <w:t xml:space="preserve"> (</w:t>
      </w:r>
      <w:proofErr w:type="spellStart"/>
      <w:r w:rsidRPr="001273E2">
        <w:rPr>
          <w:rFonts w:asciiTheme="minorHAnsi" w:hAnsiTheme="minorHAnsi"/>
        </w:rPr>
        <w:t>Maanshan</w:t>
      </w:r>
      <w:proofErr w:type="spellEnd"/>
      <w:r w:rsidRPr="001273E2">
        <w:rPr>
          <w:rFonts w:asciiTheme="minorHAnsi" w:hAnsiTheme="minorHAnsi"/>
        </w:rPr>
        <w:t xml:space="preserve">) Co. </w:t>
      </w:r>
      <w:proofErr w:type="spellStart"/>
      <w:r w:rsidRPr="001273E2">
        <w:rPr>
          <w:rFonts w:asciiTheme="minorHAnsi" w:hAnsiTheme="minorHAnsi"/>
        </w:rPr>
        <w:t>Ltd</w:t>
      </w:r>
      <w:proofErr w:type="spellEnd"/>
      <w:r w:rsidRPr="001273E2">
        <w:rPr>
          <w:rFonts w:asciiTheme="minorHAnsi" w:hAnsiTheme="minorHAnsi"/>
        </w:rPr>
        <w:t>. e RZBC (</w:t>
      </w:r>
      <w:proofErr w:type="spellStart"/>
      <w:r w:rsidRPr="001273E2">
        <w:rPr>
          <w:rFonts w:asciiTheme="minorHAnsi" w:hAnsiTheme="minorHAnsi"/>
        </w:rPr>
        <w:t>Juxian</w:t>
      </w:r>
      <w:proofErr w:type="spellEnd"/>
      <w:r w:rsidRPr="001273E2">
        <w:rPr>
          <w:rFonts w:asciiTheme="minorHAnsi" w:hAnsiTheme="minorHAnsi"/>
        </w:rPr>
        <w:t xml:space="preserve">) Co. </w:t>
      </w:r>
      <w:proofErr w:type="spellStart"/>
      <w:r w:rsidRPr="001273E2">
        <w:rPr>
          <w:rFonts w:asciiTheme="minorHAnsi" w:hAnsiTheme="minorHAnsi"/>
        </w:rPr>
        <w:t>Ltd</w:t>
      </w:r>
      <w:proofErr w:type="spellEnd"/>
      <w:r w:rsidRPr="001273E2">
        <w:rPr>
          <w:rFonts w:asciiTheme="minorHAnsi" w:hAnsiTheme="minorHAnsi"/>
        </w:rPr>
        <w:t xml:space="preserve">. e exportado para o Brasil diretamente ou via trading </w:t>
      </w:r>
      <w:proofErr w:type="spellStart"/>
      <w:r w:rsidRPr="001273E2">
        <w:rPr>
          <w:rFonts w:asciiTheme="minorHAnsi" w:hAnsiTheme="minorHAnsi"/>
        </w:rPr>
        <w:t>company</w:t>
      </w:r>
      <w:proofErr w:type="spellEnd"/>
      <w:r w:rsidRPr="001273E2">
        <w:rPr>
          <w:rFonts w:asciiTheme="minorHAnsi" w:hAnsiTheme="minorHAnsi"/>
        </w:rPr>
        <w:t xml:space="preserve"> RZBC </w:t>
      </w:r>
      <w:proofErr w:type="spellStart"/>
      <w:r w:rsidRPr="001273E2">
        <w:rPr>
          <w:rFonts w:asciiTheme="minorHAnsi" w:hAnsiTheme="minorHAnsi"/>
        </w:rPr>
        <w:t>Import</w:t>
      </w:r>
      <w:proofErr w:type="spellEnd"/>
      <w:r w:rsidRPr="001273E2">
        <w:rPr>
          <w:rFonts w:asciiTheme="minorHAnsi" w:hAnsiTheme="minorHAnsi"/>
        </w:rPr>
        <w:t xml:space="preserve"> &amp; Export., torna público que: 1. De acordo com o item C do Anexo I e com o item 3 do Anexo II da Resolução CAMEX no 82, de 2017, os preços de exportação CIF serão corrigidos trimestralmente com base na variação da média do preço </w:t>
      </w:r>
      <w:proofErr w:type="spellStart"/>
      <w:r w:rsidRPr="001273E2">
        <w:rPr>
          <w:rFonts w:asciiTheme="minorHAnsi" w:hAnsiTheme="minorHAnsi"/>
        </w:rPr>
        <w:t>nearby</w:t>
      </w:r>
      <w:proofErr w:type="spellEnd"/>
      <w:r w:rsidRPr="001273E2">
        <w:rPr>
          <w:rFonts w:asciiTheme="minorHAnsi" w:hAnsiTheme="minorHAnsi"/>
        </w:rPr>
        <w:t xml:space="preserve"> do açúcar no 11 na Bolsa de Futuros de Nova Iorque (ICE), do trimestre imediatamente posterior ao último ajuste em relação ao trimestre imediatamente anterior ao referido ajuste, conforme fórmula de ajuste constante nos itens supracitados. 2. Sendo assim, o ajuste aplicado em novembro de 2018 foi determinado pela variação da média de preços do açúcar do trimestre agosto-setembro-outubro/2018, que alcançou 12,</w:t>
      </w:r>
      <w:bookmarkStart w:id="1" w:name="_GoBack"/>
      <w:bookmarkEnd w:id="1"/>
      <w:r w:rsidRPr="001273E2">
        <w:rPr>
          <w:rFonts w:asciiTheme="minorHAnsi" w:hAnsiTheme="minorHAnsi"/>
        </w:rPr>
        <w:t xml:space="preserve">06 US$ </w:t>
      </w:r>
      <w:proofErr w:type="spellStart"/>
      <w:r w:rsidRPr="001273E2">
        <w:rPr>
          <w:rFonts w:asciiTheme="minorHAnsi" w:hAnsiTheme="minorHAnsi"/>
        </w:rPr>
        <w:t>cents</w:t>
      </w:r>
      <w:proofErr w:type="spellEnd"/>
      <w:r w:rsidRPr="001273E2">
        <w:rPr>
          <w:rFonts w:asciiTheme="minorHAnsi" w:hAnsiTheme="minorHAnsi"/>
        </w:rPr>
        <w:t>/</w:t>
      </w:r>
      <w:proofErr w:type="spellStart"/>
      <w:r w:rsidRPr="001273E2">
        <w:rPr>
          <w:rFonts w:asciiTheme="minorHAnsi" w:hAnsiTheme="minorHAnsi"/>
        </w:rPr>
        <w:t>lb</w:t>
      </w:r>
      <w:proofErr w:type="spellEnd"/>
      <w:r w:rsidRPr="001273E2">
        <w:rPr>
          <w:rFonts w:asciiTheme="minorHAnsi" w:hAnsiTheme="minorHAnsi"/>
        </w:rPr>
        <w:t xml:space="preserve"> (doze centavos de dólares estadunidenses e seis décimos por libra peso), em relação à média de preços do trimestre maio-junho-julho/2018, que chegou a 12,70 US$ </w:t>
      </w:r>
      <w:proofErr w:type="spellStart"/>
      <w:r w:rsidRPr="001273E2">
        <w:rPr>
          <w:rFonts w:asciiTheme="minorHAnsi" w:hAnsiTheme="minorHAnsi"/>
        </w:rPr>
        <w:t>cents</w:t>
      </w:r>
      <w:proofErr w:type="spellEnd"/>
      <w:r w:rsidRPr="001273E2">
        <w:rPr>
          <w:rFonts w:asciiTheme="minorHAnsi" w:hAnsiTheme="minorHAnsi"/>
        </w:rPr>
        <w:t>/</w:t>
      </w:r>
      <w:proofErr w:type="spellStart"/>
      <w:r w:rsidRPr="001273E2">
        <w:rPr>
          <w:rFonts w:asciiTheme="minorHAnsi" w:hAnsiTheme="minorHAnsi"/>
        </w:rPr>
        <w:t>lb</w:t>
      </w:r>
      <w:proofErr w:type="spellEnd"/>
      <w:r w:rsidRPr="001273E2">
        <w:rPr>
          <w:rFonts w:asciiTheme="minorHAnsi" w:hAnsiTheme="minorHAnsi"/>
        </w:rPr>
        <w:t xml:space="preserve"> (doze centavos de dólares estadunidenses e setenta décimos por libra peso). 3. Observada a fórmula de ajuste, chegou-se a um fator de correção de 0,9800289, aplicado sobre o preço dos compromissos de preços firmados. 4. Dessa maneira, deverão ser observados preços CIF não inferiores a US$ 1.104,75/t (mil cento e quatro dólares estadunidenses e setenta e cinco centavos por tonelada) para mercadorias desembaraçadas ao amparo do compromisso. 5. Esta Circular entra em vigor em um prazo de 10 (dez) dias a partir da data de sua publicação no D.O.U. ABRÃO MIGUEL ÁRABE NETO</w:t>
      </w:r>
    </w:p>
    <w:p w:rsidR="007D2E63" w:rsidRPr="001273E2" w:rsidRDefault="007D2E63" w:rsidP="001273E2">
      <w:pPr>
        <w:pStyle w:val="NormalWeb"/>
        <w:spacing w:before="0" w:beforeAutospacing="0" w:after="0" w:afterAutospacing="0" w:line="420" w:lineRule="atLeast"/>
        <w:jc w:val="both"/>
        <w:textAlignment w:val="baseline"/>
        <w:rPr>
          <w:rFonts w:asciiTheme="minorHAnsi" w:hAnsiTheme="minorHAnsi"/>
        </w:rPr>
      </w:pPr>
    </w:p>
    <w:p w:rsidR="007D2E63" w:rsidRPr="001273E2" w:rsidRDefault="007D2E63" w:rsidP="001273E2">
      <w:pPr>
        <w:pStyle w:val="NormalWeb"/>
        <w:spacing w:before="0" w:beforeAutospacing="0" w:after="0" w:afterAutospacing="0" w:line="420" w:lineRule="atLeast"/>
        <w:jc w:val="both"/>
        <w:textAlignment w:val="baseline"/>
        <w:rPr>
          <w:rFonts w:asciiTheme="minorHAnsi" w:hAnsiTheme="minorHAnsi"/>
        </w:rPr>
      </w:pPr>
    </w:p>
    <w:p w:rsidR="007D2E63" w:rsidRDefault="007D2E63" w:rsidP="001273E2">
      <w:pPr>
        <w:pStyle w:val="NormalWeb"/>
        <w:spacing w:before="0" w:beforeAutospacing="0" w:after="0" w:afterAutospacing="0" w:line="420" w:lineRule="atLeast"/>
        <w:jc w:val="both"/>
        <w:textAlignment w:val="baseline"/>
        <w:rPr>
          <w:rFonts w:asciiTheme="minorHAnsi" w:hAnsiTheme="minorHAnsi"/>
        </w:rPr>
      </w:pPr>
      <w:r w:rsidRPr="001273E2">
        <w:rPr>
          <w:rFonts w:asciiTheme="minorHAnsi" w:hAnsiTheme="minorHAnsi"/>
        </w:rPr>
        <w:t xml:space="preserve">CIRCULAR No 53, DE 12 DE NOVEMBRO DE 2018 (Publicada no D.O.U. de 13/11/2018) 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52272.001909/2018-16 e do Parecer no 29, de 9 de novembro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1. Iniciar revisão do direito antidumping instituído pela Resolução CAMEX nº 95, de 11 de novembro de 2013, publicada no Diário Oficial da União (D.O.U.) de 13 de novembro de 2013, aplicado às importações brasileiras de cadeados, comumente classificadas no item 8301.10.00 da Nomenclatura Comum do MERCOSUL - NCM, originárias da China. 1.1. Tornar públicos os fatos que justificaram a decisão de início da revisão, conforme o anexo à presente circular. 1.2. A data do início da revisão será a da publicação desta circular no Diário Oficial da União - D.O.U. 2. A análise da probabilidade de continuação ou retomada do dumping que antecedeu o início da revisão considerou o período de abril de 2017 a março de 2018. Já a análise da probabilidade de continuação ou retomada do dano que antecedeu o início da revisão considerou o período de abril de 2013 a março de 2018. 3. A participação das partes interessadas no curso desta revisão de medida de defesa comercial deverá realizar-se necessariamente por meio do Sistema DECOM Digital (SDD), de acordo com a Portaria SECEX nº 30, de 7 de junho de 2018. O endereço do SDD é http://decomdigital.mdic.gov.br. 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5. A participação das partes interessadas no curso desta revisão de medida de defesa comercial deverá realizar-se por meio de </w:t>
      </w:r>
      <w:r w:rsidRPr="001273E2">
        <w:rPr>
          <w:rFonts w:asciiTheme="minorHAnsi" w:hAnsiTheme="minorHAnsi"/>
        </w:rPr>
        <w:lastRenderedPageBreak/>
        <w:t xml:space="preserve">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8. De acordo com o previsto nos </w:t>
      </w:r>
      <w:proofErr w:type="spellStart"/>
      <w:r w:rsidRPr="001273E2">
        <w:rPr>
          <w:rFonts w:asciiTheme="minorHAnsi" w:hAnsiTheme="minorHAnsi"/>
        </w:rPr>
        <w:t>arts</w:t>
      </w:r>
      <w:proofErr w:type="spellEnd"/>
      <w:r w:rsidRPr="001273E2">
        <w:rPr>
          <w:rFonts w:asciiTheme="minorHAnsi" w:hAnsiTheme="minorHAnsi"/>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w:t>
      </w:r>
      <w:r w:rsidRPr="001273E2">
        <w:rPr>
          <w:rFonts w:asciiTheme="minorHAnsi" w:hAnsiTheme="minorHAnsi"/>
        </w:rPr>
        <w:lastRenderedPageBreak/>
        <w:t xml:space="preserve">cooperado. 10. Caso se verifique que uma parte interessada prestou informações falsas ou errôneas, tais informações não serão consideradas e poderão ser utilizados os fatos disponíveis. 11. À luz do disposto no art. 112 do Decreto no 8.058, de 2013, a revisão deverá ser concluída no prazo de dez meses, contado de sua data de início, podendo esse prazo ser prorrogado por até dois meses, em circunstâncias excepcionais. 12. De acordo com o contido no § 2º do art. 112 do Decreto no 8.058, de 2013, as medidas antidumping de que trata a Resolução CAMEX nº 95, de 2013, permanecerão em vigor, no curso desta revisão. 13. Esclarecimentos adicionais podem ser obtidos pelo telefone +55 61 2027-7889/7613 ou pelo endereço eletrônico decom@mdic.gov.br. ABRÃO MIGUEL ÁRABE NETO </w:t>
      </w:r>
    </w:p>
    <w:p w:rsidR="004B5094" w:rsidRDefault="004B5094" w:rsidP="001273E2">
      <w:pPr>
        <w:pStyle w:val="NormalWeb"/>
        <w:spacing w:before="0" w:beforeAutospacing="0" w:after="0" w:afterAutospacing="0" w:line="420" w:lineRule="atLeast"/>
        <w:jc w:val="both"/>
        <w:textAlignment w:val="baseline"/>
        <w:rPr>
          <w:rFonts w:asciiTheme="minorHAnsi" w:hAnsiTheme="minorHAnsi"/>
        </w:rPr>
      </w:pPr>
    </w:p>
    <w:p w:rsidR="004B5094" w:rsidRDefault="004B5094" w:rsidP="001273E2">
      <w:pPr>
        <w:pStyle w:val="NormalWeb"/>
        <w:spacing w:before="0" w:beforeAutospacing="0" w:after="0" w:afterAutospacing="0" w:line="420" w:lineRule="atLeast"/>
        <w:jc w:val="both"/>
        <w:textAlignment w:val="baseline"/>
        <w:rPr>
          <w:rFonts w:asciiTheme="minorHAnsi" w:hAnsiTheme="minorHAnsi"/>
        </w:rPr>
      </w:pPr>
    </w:p>
    <w:p w:rsidR="004B5094" w:rsidRPr="001273E2" w:rsidRDefault="004B5094" w:rsidP="001273E2">
      <w:pPr>
        <w:pStyle w:val="NormalWeb"/>
        <w:spacing w:before="0" w:beforeAutospacing="0" w:after="0" w:afterAutospacing="0" w:line="420" w:lineRule="atLeast"/>
        <w:jc w:val="both"/>
        <w:textAlignment w:val="baseline"/>
        <w:rPr>
          <w:rFonts w:asciiTheme="minorHAnsi" w:hAnsiTheme="minorHAnsi"/>
        </w:rPr>
      </w:pPr>
    </w:p>
    <w:p w:rsidR="00D51754" w:rsidRDefault="00073051" w:rsidP="001273E2">
      <w:pPr>
        <w:pStyle w:val="NormalWeb"/>
        <w:spacing w:before="0" w:beforeAutospacing="0" w:after="0" w:afterAutospacing="0" w:line="420" w:lineRule="atLeast"/>
        <w:jc w:val="both"/>
        <w:textAlignment w:val="baseline"/>
        <w:rPr>
          <w:rFonts w:asciiTheme="minorHAnsi" w:hAnsiTheme="minorHAnsi"/>
        </w:rPr>
      </w:pPr>
      <w:r w:rsidRPr="001273E2">
        <w:rPr>
          <w:rFonts w:asciiTheme="minorHAnsi" w:hAnsiTheme="minorHAnsi"/>
        </w:rPr>
        <w:t>PORTARIA No 60, DE 13 DE NOVEMBRO DE 2018</w:t>
      </w:r>
      <w:r w:rsidR="00D51754" w:rsidRPr="001273E2">
        <w:rPr>
          <w:rFonts w:asciiTheme="minorHAnsi" w:hAnsiTheme="minorHAnsi"/>
        </w:rPr>
        <w:t xml:space="preserve"> (DOU 14/11/2018)</w:t>
      </w:r>
      <w:r w:rsidRPr="001273E2">
        <w:rPr>
          <w:rFonts w:asciiTheme="minorHAnsi" w:hAnsiTheme="minorHAnsi"/>
        </w:rPr>
        <w:t xml:space="preserve"> O SECRETÁRIO DE COMÉRCIO EXTERIOR, DO MINISTÉRIO DA INDÚSTRIA, COMÉRCIO EXTERIOR E SERVIÇOS, no uso de suas atribuições previstas no art. 3o da Resolução CAMEX no 80, de 9 de novembro de 2010, regulamentada pela Portaria SECEX n o 38, de 18 de maio de 2015, e tendo em vista a Lei no 12.546, de 14 de dezembro de 2011 e o disposto no Acordo sobre Regras de Origem da Organização Mundial de Comércio - OMC, promulgado pelo Decreto no 1.355, de 30 de dezembro de 1994, decide: Art. 1º Encerrar o procedimento especial de verificação de origem não preferencial, com a qualificação da origem Índia para o produto canetas, classificado no subitem 9608.10.00 da Nomenclatura Comum do Mercosul (NCM), declarado como produzido pela empresa OSTERN PRIVATE LIMITED. Art. 2º Deferir as licenças de importação solicitadas pelos importadores brasileiros referentes ao produto e produtor mencionados no art. 1</w:t>
      </w:r>
      <w:proofErr w:type="gramStart"/>
      <w:r w:rsidRPr="001273E2">
        <w:rPr>
          <w:rFonts w:asciiTheme="minorHAnsi" w:hAnsiTheme="minorHAnsi"/>
        </w:rPr>
        <w:t>o ,</w:t>
      </w:r>
      <w:proofErr w:type="gramEnd"/>
      <w:r w:rsidRPr="001273E2">
        <w:rPr>
          <w:rFonts w:asciiTheme="minorHAnsi" w:hAnsiTheme="minorHAnsi"/>
        </w:rPr>
        <w:t xml:space="preserve"> quando a origem declarada for Índia. ABRÃO MIGUEL ÁRABE NETO </w:t>
      </w:r>
    </w:p>
    <w:p w:rsidR="00DC6ECB" w:rsidRDefault="00DC6ECB" w:rsidP="001273E2">
      <w:pPr>
        <w:pStyle w:val="NormalWeb"/>
        <w:spacing w:before="0" w:beforeAutospacing="0" w:after="0" w:afterAutospacing="0" w:line="420" w:lineRule="atLeast"/>
        <w:jc w:val="both"/>
        <w:textAlignment w:val="baseline"/>
        <w:rPr>
          <w:rFonts w:asciiTheme="minorHAnsi" w:hAnsiTheme="minorHAnsi"/>
        </w:rPr>
      </w:pPr>
    </w:p>
    <w:p w:rsidR="00DC6ECB" w:rsidRDefault="00DC6ECB" w:rsidP="001273E2">
      <w:pPr>
        <w:pStyle w:val="NormalWeb"/>
        <w:spacing w:before="0" w:beforeAutospacing="0" w:after="0" w:afterAutospacing="0" w:line="420" w:lineRule="atLeast"/>
        <w:jc w:val="both"/>
        <w:textAlignment w:val="baseline"/>
        <w:rPr>
          <w:rFonts w:asciiTheme="minorHAnsi" w:hAnsiTheme="minorHAnsi"/>
        </w:rPr>
      </w:pPr>
    </w:p>
    <w:p w:rsidR="00DC6ECB" w:rsidRPr="001273E2" w:rsidRDefault="00DC6ECB" w:rsidP="001273E2">
      <w:pPr>
        <w:pStyle w:val="NormalWeb"/>
        <w:spacing w:before="0" w:beforeAutospacing="0" w:after="0" w:afterAutospacing="0" w:line="420" w:lineRule="atLeast"/>
        <w:jc w:val="both"/>
        <w:textAlignment w:val="baseline"/>
        <w:rPr>
          <w:rFonts w:asciiTheme="minorHAnsi" w:hAnsiTheme="minorHAnsi"/>
        </w:rPr>
      </w:pPr>
    </w:p>
    <w:p w:rsidR="00366981" w:rsidRPr="001273E2" w:rsidRDefault="00366981" w:rsidP="001273E2">
      <w:pPr>
        <w:shd w:val="clear" w:color="auto" w:fill="FFFFFF"/>
        <w:spacing w:after="0" w:line="240" w:lineRule="auto"/>
        <w:rPr>
          <w:rFonts w:eastAsia="Times New Roman" w:cs="Arial"/>
          <w:b/>
          <w:bCs/>
          <w:caps/>
          <w:color w:val="172938"/>
          <w:sz w:val="24"/>
          <w:szCs w:val="24"/>
          <w:lang w:eastAsia="pt-BR"/>
        </w:rPr>
      </w:pPr>
      <w:r w:rsidRPr="001273E2">
        <w:rPr>
          <w:rFonts w:eastAsia="Times New Roman" w:cs="Arial"/>
          <w:b/>
          <w:bCs/>
          <w:caps/>
          <w:color w:val="172938"/>
          <w:sz w:val="24"/>
          <w:szCs w:val="24"/>
          <w:lang w:eastAsia="pt-BR"/>
        </w:rPr>
        <w:t>CIRCULAR Nº 55, DE 21 DE NOVEMBRO DE 2018</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O SECRETÁRIO DE COMÉRCIO EXTERIOR, SUBSTITUTO, DO MINISTÉRIO DA INDÚSTRIA, COMÉRCIO EXTERIOR E SERVIÇOS, em consonância com o disposto no Acordo sobre a Implementação do Artigo VI do Acordo Geral sobre Tarifas e Comércio - GATT 1994, aprovado pelo Decreto Legislativo no30, de 15 de dezembro de 1994, </w:t>
      </w:r>
      <w:r w:rsidRPr="001273E2">
        <w:rPr>
          <w:rFonts w:eastAsia="Times New Roman" w:cs="Arial"/>
          <w:color w:val="162937"/>
          <w:sz w:val="24"/>
          <w:szCs w:val="24"/>
          <w:lang w:eastAsia="pt-BR"/>
        </w:rPr>
        <w:lastRenderedPageBreak/>
        <w:t>promulgado pelo Decreto no1.355, de 30 de dezembro de 1994 e regulamentado pelo Decreto no8.058, de 26 de julho de 2013, torna público que:</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 Conforme o previsto no art. 1oda Resolução da Câmara de Comércio Exterior - CAMEX no46 de 3 de julho de 2014, publicada no Diário Oficial da União - D.O.U. de 4 de julho de 2014, o prazo de vigência do direito antidumping aplicado às importações brasileiras de vidros para uso em eletrodomésticos da linha fria, comumente classificadas no item 7007.19.00 da Nomenclatura Comum do MERCOSUL - NCM, originárias da República Popular da China, encerrar-se-á no dia 4 de julho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2. Conforme o previsto no art. 1oda Resolução da Câmara de Comércio Exterior - CAMEX no47 de 3 de junho de 2014, publicada no Diário Oficial da União - D.O.U. de 4 de julho de 2014, o prazo de vigência do direito antidumping aplicado às importações brasileiras de filtros cerâmicos refratários, comumente classificadas nos itens 6903.90.91 e 6903.90.99 da Nomenclatura Comum do MERCOSUL - NCM, originárias da República Popular da China, encerrar-se-á no dia 4 de julho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3. Conforme o previsto no art. 1oda Resolução da Câmara de Comércio Exterior - CAMEX no67 de 14 de agosto de 2014, publicada no Diário Oficial da União - D.O.U. de 15 de agosto de 2014, o prazo de vigência do direito antidumping aplicado às importações brasileiras de </w:t>
      </w:r>
      <w:proofErr w:type="spellStart"/>
      <w:r w:rsidRPr="001273E2">
        <w:rPr>
          <w:rFonts w:eastAsia="Times New Roman" w:cs="Arial"/>
          <w:color w:val="162937"/>
          <w:sz w:val="24"/>
          <w:szCs w:val="24"/>
          <w:lang w:eastAsia="pt-BR"/>
        </w:rPr>
        <w:t>pirofosfato</w:t>
      </w:r>
      <w:proofErr w:type="spellEnd"/>
      <w:r w:rsidRPr="001273E2">
        <w:rPr>
          <w:rFonts w:eastAsia="Times New Roman" w:cs="Arial"/>
          <w:color w:val="162937"/>
          <w:sz w:val="24"/>
          <w:szCs w:val="24"/>
          <w:lang w:eastAsia="pt-BR"/>
        </w:rPr>
        <w:t xml:space="preserve"> ácido de sódio (SAPP), comumente classificadas no item 2835.39.20 da Nomenclatura Comum do MERCOSUL - NCM, originárias do Canadá, da República Popular da China e dos Estados Unidos da América, encerrar-se-á no dia 15 de agosto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4. Conforme o previsto no art. 1oda Resolução da Câmara de Comércio Exterior - CAMEX no68 de 14 de agosto de 2014, publicada no Diário Oficial da União - D.O.U. de 15 de agosto de 2014, o prazo de vigência do direito antidumping aplicado às importações brasileiras de resina de </w:t>
      </w:r>
      <w:proofErr w:type="spellStart"/>
      <w:r w:rsidRPr="001273E2">
        <w:rPr>
          <w:rFonts w:eastAsia="Times New Roman" w:cs="Arial"/>
          <w:color w:val="162937"/>
          <w:sz w:val="24"/>
          <w:szCs w:val="24"/>
          <w:lang w:eastAsia="pt-BR"/>
        </w:rPr>
        <w:t>policloreto</w:t>
      </w:r>
      <w:proofErr w:type="spellEnd"/>
      <w:r w:rsidRPr="001273E2">
        <w:rPr>
          <w:rFonts w:eastAsia="Times New Roman" w:cs="Arial"/>
          <w:color w:val="162937"/>
          <w:sz w:val="24"/>
          <w:szCs w:val="24"/>
          <w:lang w:eastAsia="pt-BR"/>
        </w:rPr>
        <w:t xml:space="preserve"> de </w:t>
      </w:r>
      <w:proofErr w:type="spellStart"/>
      <w:r w:rsidRPr="001273E2">
        <w:rPr>
          <w:rFonts w:eastAsia="Times New Roman" w:cs="Arial"/>
          <w:color w:val="162937"/>
          <w:sz w:val="24"/>
          <w:szCs w:val="24"/>
          <w:lang w:eastAsia="pt-BR"/>
        </w:rPr>
        <w:t>vinila</w:t>
      </w:r>
      <w:proofErr w:type="spellEnd"/>
      <w:r w:rsidRPr="001273E2">
        <w:rPr>
          <w:rFonts w:eastAsia="Times New Roman" w:cs="Arial"/>
          <w:color w:val="162937"/>
          <w:sz w:val="24"/>
          <w:szCs w:val="24"/>
          <w:lang w:eastAsia="pt-BR"/>
        </w:rPr>
        <w:t xml:space="preserve"> obtida por processo em suspensão, comumente classificadas no item 3904.10.10 da Nomenclatura Comum do MERCOSUL - NCM, originárias da República Popular da China e da República da Coreia, encerrar-se-á no dia 15 de agosto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5. Conforme o previsto no art. 1oda Resolução da Câmara de Comércio Exterior - CAMEX no75 de 27 de agosto de 2014, publicada no Diário Oficial da União - D.O.U. de 28 de agosto de 2014, o prazo de vigência do direito antidumping aplicado às importações brasileiras de resinas de polipropileno, comumente classificadas nos itens 3902.10.20 e 3902.30.00 da Nomenclatura Comum do MERCOSUL - NCM, originárias da República da África do Sul, da República da Coreia e da República da Índia, encerrar-se-á no dia 28 de agosto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6. Conforme o previsto no art. 1oda Resolução da Câmara de Comércio Exterior - CAMEX no82 de 18 de setembro de 2014, publicada no Diário Oficial da União - D.O.U. de 19 de setembro de 2014, o prazo de vigência do direito antidumping aplicado às importações brasileiras de fenol, de grau industrial, comumente classificadas no item 2907.11.00 da Nomenclatura Comum do MERCOSUL - NCM, originárias dos Estados Unidos da América e da União Europeia, encerrar-se-á no dia 19 de setembro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7. Conforme o previsto no art. 1oda Resolução da Câmara de Comércio Exterior - CAMEX no89 de 7 de outubro de 2014, publicada no Diário Oficial da União - D.O.U. de 8 de outubro de 2014, o prazo de vigência do direito antidumping aplicado às importações brasileiras de papel </w:t>
      </w:r>
      <w:proofErr w:type="spellStart"/>
      <w:r w:rsidRPr="001273E2">
        <w:rPr>
          <w:rFonts w:eastAsia="Times New Roman" w:cs="Arial"/>
          <w:color w:val="162937"/>
          <w:sz w:val="24"/>
          <w:szCs w:val="24"/>
          <w:lang w:eastAsia="pt-BR"/>
        </w:rPr>
        <w:t>supercalandrado</w:t>
      </w:r>
      <w:proofErr w:type="spellEnd"/>
      <w:r w:rsidRPr="001273E2">
        <w:rPr>
          <w:rFonts w:eastAsia="Times New Roman" w:cs="Arial"/>
          <w:color w:val="162937"/>
          <w:sz w:val="24"/>
          <w:szCs w:val="24"/>
          <w:lang w:eastAsia="pt-BR"/>
        </w:rPr>
        <w:t xml:space="preserve"> base de </w:t>
      </w:r>
      <w:proofErr w:type="spellStart"/>
      <w:r w:rsidRPr="001273E2">
        <w:rPr>
          <w:rFonts w:eastAsia="Times New Roman" w:cs="Arial"/>
          <w:color w:val="162937"/>
          <w:sz w:val="24"/>
          <w:szCs w:val="24"/>
          <w:lang w:eastAsia="pt-BR"/>
        </w:rPr>
        <w:t>siliconização</w:t>
      </w:r>
      <w:proofErr w:type="spellEnd"/>
      <w:r w:rsidRPr="001273E2">
        <w:rPr>
          <w:rFonts w:eastAsia="Times New Roman" w:cs="Arial"/>
          <w:color w:val="162937"/>
          <w:sz w:val="24"/>
          <w:szCs w:val="24"/>
          <w:lang w:eastAsia="pt-BR"/>
        </w:rPr>
        <w:t xml:space="preserve">, para aplicação como release </w:t>
      </w:r>
      <w:proofErr w:type="spellStart"/>
      <w:r w:rsidRPr="001273E2">
        <w:rPr>
          <w:rFonts w:eastAsia="Times New Roman" w:cs="Arial"/>
          <w:color w:val="162937"/>
          <w:sz w:val="24"/>
          <w:szCs w:val="24"/>
          <w:lang w:eastAsia="pt-BR"/>
        </w:rPr>
        <w:t>liner</w:t>
      </w:r>
      <w:proofErr w:type="spellEnd"/>
      <w:r w:rsidRPr="001273E2">
        <w:rPr>
          <w:rFonts w:eastAsia="Times New Roman" w:cs="Arial"/>
          <w:color w:val="162937"/>
          <w:sz w:val="24"/>
          <w:szCs w:val="24"/>
          <w:lang w:eastAsia="pt-BR"/>
        </w:rPr>
        <w:t xml:space="preserve"> em estruturas autoadesivas, que pode ser apresentado nos tipos </w:t>
      </w:r>
      <w:proofErr w:type="spellStart"/>
      <w:r w:rsidRPr="001273E2">
        <w:rPr>
          <w:rFonts w:eastAsia="Times New Roman" w:cs="Arial"/>
          <w:color w:val="162937"/>
          <w:sz w:val="24"/>
          <w:szCs w:val="24"/>
          <w:lang w:eastAsia="pt-BR"/>
        </w:rPr>
        <w:t>glassine</w:t>
      </w:r>
      <w:proofErr w:type="spellEnd"/>
      <w:r w:rsidRPr="001273E2">
        <w:rPr>
          <w:rFonts w:eastAsia="Times New Roman" w:cs="Arial"/>
          <w:color w:val="162937"/>
          <w:sz w:val="24"/>
          <w:szCs w:val="24"/>
          <w:lang w:eastAsia="pt-BR"/>
        </w:rPr>
        <w:t xml:space="preserve"> ou </w:t>
      </w:r>
      <w:proofErr w:type="spellStart"/>
      <w:r w:rsidRPr="001273E2">
        <w:rPr>
          <w:rFonts w:eastAsia="Times New Roman" w:cs="Arial"/>
          <w:color w:val="162937"/>
          <w:sz w:val="24"/>
          <w:szCs w:val="24"/>
          <w:lang w:eastAsia="pt-BR"/>
        </w:rPr>
        <w:t>super-calendred</w:t>
      </w:r>
      <w:proofErr w:type="spellEnd"/>
      <w:r w:rsidRPr="001273E2">
        <w:rPr>
          <w:rFonts w:eastAsia="Times New Roman" w:cs="Arial"/>
          <w:color w:val="162937"/>
          <w:sz w:val="24"/>
          <w:szCs w:val="24"/>
          <w:lang w:eastAsia="pt-BR"/>
        </w:rPr>
        <w:t xml:space="preserve"> </w:t>
      </w:r>
      <w:proofErr w:type="spellStart"/>
      <w:r w:rsidRPr="001273E2">
        <w:rPr>
          <w:rFonts w:eastAsia="Times New Roman" w:cs="Arial"/>
          <w:color w:val="162937"/>
          <w:sz w:val="24"/>
          <w:szCs w:val="24"/>
          <w:lang w:eastAsia="pt-BR"/>
        </w:rPr>
        <w:t>kraft</w:t>
      </w:r>
      <w:proofErr w:type="spellEnd"/>
      <w:r w:rsidRPr="001273E2">
        <w:rPr>
          <w:rFonts w:eastAsia="Times New Roman" w:cs="Arial"/>
          <w:color w:val="162937"/>
          <w:sz w:val="24"/>
          <w:szCs w:val="24"/>
          <w:lang w:eastAsia="pt-BR"/>
        </w:rPr>
        <w:t xml:space="preserve"> (SCK), com gramatura de 35 a 90 g/m2, comumente </w:t>
      </w:r>
      <w:r w:rsidRPr="001273E2">
        <w:rPr>
          <w:rFonts w:eastAsia="Times New Roman" w:cs="Arial"/>
          <w:color w:val="162937"/>
          <w:sz w:val="24"/>
          <w:szCs w:val="24"/>
          <w:lang w:eastAsia="pt-BR"/>
        </w:rPr>
        <w:lastRenderedPageBreak/>
        <w:t>classificadas no item 4806.40.00 da Nomenclatura Comum do MERCOSUL - NCM, originárias da República da Finlândia e dos Estados Unidos da América, encerrar-se-á no dia 8 de outubro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8. Conforme o previsto no art. 1oda Resolução da Câmara de Comércio Exterior - CAMEX no95 de 29 de outubro de 2014, publicada no Diário Oficial da União - D.O.U. de 30 de outubro de 2014, o prazo de vigência do direito antidumping aplicado às importações brasileiras de tubos de aço sem costura, ligado ao cromo, com diâmetro externo nominal igual ou inferior a 141,3 mm, mas superior a 3 mm, independente da espessura da parede e do diâmetro interno, comumente classificadas nos itens 7304.51.19, 7304.59.11 e 7304.59.19 da Nomenclatura Comum do MERCOSUL - NCM, originárias da República Popular da China, encerrar-se-á no dia 30 de outubro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9. Conforme o previsto no art. 1oda Resolução da Câmara de Comércio Exterior - CAMEX no106 de 21 de novembro de 2014, publicada no Diário Oficial da União - D.O.U. de 24 de novembro de 2014, o prazo de vigência do direito antidumping aplicado às importações brasileiras de tubos de aço carbono, sem costura, de condução (</w:t>
      </w:r>
      <w:proofErr w:type="spellStart"/>
      <w:r w:rsidRPr="001273E2">
        <w:rPr>
          <w:rFonts w:eastAsia="Times New Roman" w:cs="Arial"/>
          <w:color w:val="162937"/>
          <w:sz w:val="24"/>
          <w:szCs w:val="24"/>
          <w:lang w:eastAsia="pt-BR"/>
        </w:rPr>
        <w:t>line</w:t>
      </w:r>
      <w:proofErr w:type="spellEnd"/>
      <w:r w:rsidRPr="001273E2">
        <w:rPr>
          <w:rFonts w:eastAsia="Times New Roman" w:cs="Arial"/>
          <w:color w:val="162937"/>
          <w:sz w:val="24"/>
          <w:szCs w:val="24"/>
          <w:lang w:eastAsia="pt-BR"/>
        </w:rPr>
        <w:t xml:space="preserve"> </w:t>
      </w:r>
      <w:proofErr w:type="spellStart"/>
      <w:r w:rsidRPr="001273E2">
        <w:rPr>
          <w:rFonts w:eastAsia="Times New Roman" w:cs="Arial"/>
          <w:color w:val="162937"/>
          <w:sz w:val="24"/>
          <w:szCs w:val="24"/>
          <w:lang w:eastAsia="pt-BR"/>
        </w:rPr>
        <w:t>pipe</w:t>
      </w:r>
      <w:proofErr w:type="spellEnd"/>
      <w:r w:rsidRPr="001273E2">
        <w:rPr>
          <w:rFonts w:eastAsia="Times New Roman" w:cs="Arial"/>
          <w:color w:val="162937"/>
          <w:sz w:val="24"/>
          <w:szCs w:val="24"/>
          <w:lang w:eastAsia="pt-BR"/>
        </w:rPr>
        <w:t>), utilizados em oleodutos ou gasodutos, com diâmetro externo não superior a 5 (cinco) polegadas nominais (141,3 mm), comumente classificadas no item 7304.19.00 da Nomenclatura Comum do MERCOSUL - NCM, originárias da Ucrânia, encerrar-se-á no dia 24 de novembro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10. Conforme o previsto no art. 1oda Resolução da Câmara de Comércio Exterior - CAMEX no107 de 21 de novembro de 2014, publicada no Diário Oficial da União - D.O.U. de 24 de novembro de 2014, o prazo de vigência do direito antidumping aplicado às importações brasileiras de pneus novos radiais para ônibus ou caminhão, aros 20", 22" e 22,5", comumente classificadas no item 4011.20.90 da Nomenclatura Comum do MERCOSUL - NCM, originárias da República da África do Sul, da República da Coreia, do Japão, da Federação da Rússia, do Reino da Tailândia e de Taipé Chinês, encerrar-se-á no dia 24 de novembro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11. Conforme o previsto no art. 1oda Resolução da Câmara de Comércio Exterior - CAMEX no120 de 18 de dezembro de 2014, publicada no Diário Oficial da União - D.O.U. de 19 de dezembro de 2014, o prazo de vigência do direito antidumping aplicado às importações brasileiras de </w:t>
      </w:r>
      <w:proofErr w:type="spellStart"/>
      <w:r w:rsidRPr="001273E2">
        <w:rPr>
          <w:rFonts w:eastAsia="Times New Roman" w:cs="Arial"/>
          <w:color w:val="162937"/>
          <w:sz w:val="24"/>
          <w:szCs w:val="24"/>
          <w:lang w:eastAsia="pt-BR"/>
        </w:rPr>
        <w:t>acrilato</w:t>
      </w:r>
      <w:proofErr w:type="spellEnd"/>
      <w:r w:rsidRPr="001273E2">
        <w:rPr>
          <w:rFonts w:eastAsia="Times New Roman" w:cs="Arial"/>
          <w:color w:val="162937"/>
          <w:sz w:val="24"/>
          <w:szCs w:val="24"/>
          <w:lang w:eastAsia="pt-BR"/>
        </w:rPr>
        <w:t xml:space="preserve"> de </w:t>
      </w:r>
      <w:proofErr w:type="spellStart"/>
      <w:r w:rsidRPr="001273E2">
        <w:rPr>
          <w:rFonts w:eastAsia="Times New Roman" w:cs="Arial"/>
          <w:color w:val="162937"/>
          <w:sz w:val="24"/>
          <w:szCs w:val="24"/>
          <w:lang w:eastAsia="pt-BR"/>
        </w:rPr>
        <w:t>butila</w:t>
      </w:r>
      <w:proofErr w:type="spellEnd"/>
      <w:r w:rsidRPr="001273E2">
        <w:rPr>
          <w:rFonts w:eastAsia="Times New Roman" w:cs="Arial"/>
          <w:color w:val="162937"/>
          <w:sz w:val="24"/>
          <w:szCs w:val="24"/>
          <w:lang w:eastAsia="pt-BR"/>
        </w:rPr>
        <w:t>, comumente classificadas no item 2916.12.30 da Nomenclatura Comum do MERCOSUL - NCM, originárias dos Estados Unidos da América, encerrar-se-á no dia 19 de dezembro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12. Conforme o previsto no art. 1oda Resolução da Câmara de Comércio Exterior - CAMEX no121 de 18 de dezembro de 2014, publicada no Diário Oficial da União - D.O.U. de 19 de dezembro de 2014, o prazo de vigência do direito antidumping aplicado às importações brasileiras de vidros planos </w:t>
      </w:r>
      <w:proofErr w:type="spellStart"/>
      <w:r w:rsidRPr="001273E2">
        <w:rPr>
          <w:rFonts w:eastAsia="Times New Roman" w:cs="Arial"/>
          <w:color w:val="162937"/>
          <w:sz w:val="24"/>
          <w:szCs w:val="24"/>
          <w:lang w:eastAsia="pt-BR"/>
        </w:rPr>
        <w:t>flotados</w:t>
      </w:r>
      <w:proofErr w:type="spellEnd"/>
      <w:r w:rsidRPr="001273E2">
        <w:rPr>
          <w:rFonts w:eastAsia="Times New Roman" w:cs="Arial"/>
          <w:color w:val="162937"/>
          <w:sz w:val="24"/>
          <w:szCs w:val="24"/>
          <w:lang w:eastAsia="pt-BR"/>
        </w:rPr>
        <w:t xml:space="preserve"> incolores, com espessura de 2 mm a 19 mm, comumente classificadas no item 7005.29.00 da Nomenclatura Comum do MERCOSUL - NCM, originárias do Reino da Arábia Saudita, da República Popular da China, da República Árabe do Egito, dos Emirados Árabes Unidos, dos Estados Unidos da América e dos Estados Unidos Mexicanos, encerrar-se-á no dia 19 de dezembro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13. Conforme o previsto no art. 1oda Resolução da Câmara de Comércio Exterior - CAMEX no122 de 18 de dezembro de 2014, publicada no Diário Oficial da União - D.O.U. de 19 de dezembro de 2014, o prazo de vigência do direito antidumping aplicado às importações brasileiras de porcelanato técnico, comumente classificadas no </w:t>
      </w:r>
      <w:r w:rsidRPr="001273E2">
        <w:rPr>
          <w:rFonts w:eastAsia="Times New Roman" w:cs="Arial"/>
          <w:color w:val="162937"/>
          <w:sz w:val="24"/>
          <w:szCs w:val="24"/>
          <w:lang w:eastAsia="pt-BR"/>
        </w:rPr>
        <w:lastRenderedPageBreak/>
        <w:t>item 6907.90.00 da Nomenclatura Comum do MERCOSUL - NCM, originárias da República Popular da China, encerrar-se-á no dia 19 de dezembro de 2019.</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14. Conforme previsto no art. 111 do Decreto nº 8.058, de 2013, as partes que desejarem iniciar uma revisão deverão protocolar petição de revisão de final de período, que deverá conter as informações previstas na Portaria SECEX no44, de 29 de outubro de 2013, no mínimo quatro meses antes da data do término do período de vigência do direito antidumping.</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15. Em conformidade com o previsto na Portaria SECEX no30, de 7 de junho de 2018, o protocolo das petições de revisão de final de período deverá ser feito por meio do Sistema DECOM Digital - SDD, o qual pode ser acessado no sítio eletrônico http://decomdigital.mdic.gov.br.</w:t>
      </w:r>
    </w:p>
    <w:p w:rsidR="00366981" w:rsidRPr="001273E2" w:rsidRDefault="00366981"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16. Esclarecimentos adicionais podem ser obtidos pelos telefones +55 61 2027-7345/7770.</w:t>
      </w:r>
    </w:p>
    <w:p w:rsidR="00366981" w:rsidRPr="001273E2" w:rsidRDefault="00366981" w:rsidP="001273E2">
      <w:pPr>
        <w:shd w:val="clear" w:color="auto" w:fill="FFFFFF"/>
        <w:spacing w:after="0" w:line="240" w:lineRule="auto"/>
        <w:rPr>
          <w:rFonts w:eastAsia="Times New Roman" w:cs="Arial"/>
          <w:caps/>
          <w:color w:val="162937"/>
          <w:sz w:val="24"/>
          <w:szCs w:val="24"/>
          <w:lang w:eastAsia="pt-BR"/>
        </w:rPr>
      </w:pPr>
      <w:r w:rsidRPr="001273E2">
        <w:rPr>
          <w:rFonts w:eastAsia="Times New Roman" w:cs="Arial"/>
          <w:caps/>
          <w:color w:val="162937"/>
          <w:sz w:val="24"/>
          <w:szCs w:val="24"/>
          <w:lang w:eastAsia="pt-BR"/>
        </w:rPr>
        <w:t>RENATO AGOSTINHO DA SILVA</w:t>
      </w:r>
    </w:p>
    <w:p w:rsidR="00D51754" w:rsidRPr="001273E2" w:rsidRDefault="00D51754" w:rsidP="001273E2">
      <w:pPr>
        <w:pStyle w:val="NormalWeb"/>
        <w:spacing w:before="0" w:beforeAutospacing="0" w:after="0" w:afterAutospacing="0" w:line="420" w:lineRule="atLeast"/>
        <w:jc w:val="both"/>
        <w:textAlignment w:val="baseline"/>
        <w:rPr>
          <w:rFonts w:asciiTheme="minorHAnsi" w:hAnsiTheme="minorHAnsi"/>
          <w:color w:val="000000"/>
        </w:rPr>
      </w:pPr>
    </w:p>
    <w:p w:rsidR="00DC6ECB" w:rsidRDefault="00DC6ECB" w:rsidP="001273E2">
      <w:pPr>
        <w:spacing w:after="0" w:line="240" w:lineRule="auto"/>
        <w:rPr>
          <w:rFonts w:eastAsia="Times New Roman" w:cs="Arial"/>
          <w:b/>
          <w:bCs/>
          <w:caps/>
          <w:color w:val="172938"/>
          <w:sz w:val="24"/>
          <w:szCs w:val="24"/>
          <w:shd w:val="clear" w:color="auto" w:fill="FFFFFF"/>
          <w:lang w:eastAsia="pt-BR"/>
        </w:rPr>
      </w:pPr>
    </w:p>
    <w:p w:rsidR="00DC6ECB" w:rsidRDefault="00DC6ECB" w:rsidP="001273E2">
      <w:pPr>
        <w:spacing w:after="0" w:line="240" w:lineRule="auto"/>
        <w:rPr>
          <w:rFonts w:eastAsia="Times New Roman" w:cs="Arial"/>
          <w:b/>
          <w:bCs/>
          <w:caps/>
          <w:color w:val="172938"/>
          <w:sz w:val="24"/>
          <w:szCs w:val="24"/>
          <w:shd w:val="clear" w:color="auto" w:fill="FFFFFF"/>
          <w:lang w:eastAsia="pt-BR"/>
        </w:rPr>
      </w:pPr>
    </w:p>
    <w:p w:rsidR="00DC6ECB" w:rsidRDefault="00DC6ECB" w:rsidP="001273E2">
      <w:pPr>
        <w:spacing w:after="0" w:line="240" w:lineRule="auto"/>
        <w:rPr>
          <w:rFonts w:eastAsia="Times New Roman" w:cs="Arial"/>
          <w:b/>
          <w:bCs/>
          <w:caps/>
          <w:color w:val="172938"/>
          <w:sz w:val="24"/>
          <w:szCs w:val="24"/>
          <w:shd w:val="clear" w:color="auto" w:fill="FFFFFF"/>
          <w:lang w:eastAsia="pt-BR"/>
        </w:rPr>
      </w:pPr>
    </w:p>
    <w:p w:rsidR="00EF6592" w:rsidRPr="001273E2" w:rsidRDefault="00EF6592" w:rsidP="001273E2">
      <w:pPr>
        <w:spacing w:after="0" w:line="240" w:lineRule="auto"/>
        <w:rPr>
          <w:rFonts w:eastAsia="Times New Roman" w:cs="Arial"/>
          <w:b/>
          <w:bCs/>
          <w:caps/>
          <w:color w:val="172938"/>
          <w:sz w:val="24"/>
          <w:szCs w:val="24"/>
          <w:shd w:val="clear" w:color="auto" w:fill="FFFFFF"/>
          <w:lang w:eastAsia="pt-BR"/>
        </w:rPr>
      </w:pPr>
      <w:r w:rsidRPr="001273E2">
        <w:rPr>
          <w:rFonts w:eastAsia="Times New Roman" w:cs="Arial"/>
          <w:b/>
          <w:bCs/>
          <w:caps/>
          <w:color w:val="172938"/>
          <w:sz w:val="24"/>
          <w:szCs w:val="24"/>
          <w:shd w:val="clear" w:color="auto" w:fill="FFFFFF"/>
          <w:lang w:eastAsia="pt-BR"/>
        </w:rPr>
        <w:t>CIRCULAR Nº 56, DE 22 DE NOVEMBRO DE 2018 (DOU 23/11/2018)</w:t>
      </w:r>
    </w:p>
    <w:p w:rsidR="00EF6592" w:rsidRPr="001273E2" w:rsidRDefault="00EF6592" w:rsidP="001273E2">
      <w:pPr>
        <w:spacing w:after="0" w:line="240" w:lineRule="auto"/>
        <w:ind w:firstLine="1200"/>
        <w:rPr>
          <w:rFonts w:eastAsia="Times New Roman" w:cs="Arial"/>
          <w:color w:val="162937"/>
          <w:sz w:val="24"/>
          <w:szCs w:val="24"/>
          <w:shd w:val="clear" w:color="auto" w:fill="FFFFFF"/>
          <w:lang w:eastAsia="pt-BR"/>
        </w:rPr>
      </w:pPr>
      <w:r w:rsidRPr="001273E2">
        <w:rPr>
          <w:rFonts w:eastAsia="Times New Roman" w:cs="Arial"/>
          <w:color w:val="162937"/>
          <w:sz w:val="24"/>
          <w:szCs w:val="24"/>
          <w:shd w:val="clear" w:color="auto" w:fill="FFFFFF"/>
          <w:lang w:eastAsia="pt-BR"/>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no30, de 15 de dezembro de 1994, promulgado pelo Decreto no1.355, de 30 de dezembro de 1994 e o contido no Decreto no8.058, de 26 de julho de 2013, especialmente o previsto nos </w:t>
      </w:r>
      <w:proofErr w:type="spellStart"/>
      <w:r w:rsidRPr="001273E2">
        <w:rPr>
          <w:rFonts w:eastAsia="Times New Roman" w:cs="Arial"/>
          <w:color w:val="162937"/>
          <w:sz w:val="24"/>
          <w:szCs w:val="24"/>
          <w:shd w:val="clear" w:color="auto" w:fill="FFFFFF"/>
          <w:lang w:eastAsia="pt-BR"/>
        </w:rPr>
        <w:t>arts</w:t>
      </w:r>
      <w:proofErr w:type="spellEnd"/>
      <w:r w:rsidRPr="001273E2">
        <w:rPr>
          <w:rFonts w:eastAsia="Times New Roman" w:cs="Arial"/>
          <w:color w:val="162937"/>
          <w:sz w:val="24"/>
          <w:szCs w:val="24"/>
          <w:shd w:val="clear" w:color="auto" w:fill="FFFFFF"/>
          <w:lang w:eastAsia="pt-BR"/>
        </w:rPr>
        <w:t>. 5oe 72, e tendo em vista o constante no Processo MDIC/SECEX 52272.001246/2017-59, decide prorrogar por até oito meses, a partir de 26 de janeiro de 2019, o prazo para conclusão da investigação de prática de dumping, de dano à indústria doméstica e de relação causal entre esses, nas exportações para o Brasil de cilindros de laminação, de ferro ou aço fundidos, com diâmetro externo da mesa de trabalho igual ou superior a 250 mm, mas não superior a 1.850 mm, e com comprimento da mesa de trabalho igual ou superior a 150 mm, mas não superior a 1.300 mm, usualmente classificados nos subitens 8455.30.10 e 8455.30.90 da Nomenclatura Comum do MERCOSUL - NCM, originários da China, iniciada por intermédio da Circular SECEX no14, de 23 de março de 2018, publicada no D.O.U de 26 de março de 2018.</w:t>
      </w:r>
    </w:p>
    <w:p w:rsidR="00EF6592" w:rsidRPr="001273E2" w:rsidRDefault="00EF6592" w:rsidP="001273E2">
      <w:pPr>
        <w:spacing w:after="0" w:line="240" w:lineRule="auto"/>
        <w:rPr>
          <w:rFonts w:eastAsia="Times New Roman" w:cs="Arial"/>
          <w:caps/>
          <w:color w:val="162937"/>
          <w:sz w:val="24"/>
          <w:szCs w:val="24"/>
          <w:shd w:val="clear" w:color="auto" w:fill="FFFFFF"/>
          <w:lang w:eastAsia="pt-BR"/>
        </w:rPr>
      </w:pPr>
      <w:r w:rsidRPr="001273E2">
        <w:rPr>
          <w:rFonts w:eastAsia="Times New Roman" w:cs="Arial"/>
          <w:caps/>
          <w:color w:val="162937"/>
          <w:sz w:val="24"/>
          <w:szCs w:val="24"/>
          <w:shd w:val="clear" w:color="auto" w:fill="FFFFFF"/>
          <w:lang w:eastAsia="pt-BR"/>
        </w:rPr>
        <w:t>ABRÃO MIGUEL ÁRABE NETO</w:t>
      </w:r>
    </w:p>
    <w:p w:rsidR="00EF6592" w:rsidRDefault="00EF6592" w:rsidP="001273E2">
      <w:pPr>
        <w:shd w:val="clear" w:color="auto" w:fill="FFFFFF"/>
        <w:spacing w:after="75" w:line="240" w:lineRule="auto"/>
        <w:rPr>
          <w:rFonts w:eastAsia="Times New Roman" w:cs="Arial"/>
          <w:color w:val="FF0000"/>
          <w:sz w:val="24"/>
          <w:szCs w:val="24"/>
          <w:lang w:eastAsia="pt-BR"/>
        </w:rPr>
      </w:pPr>
    </w:p>
    <w:p w:rsidR="00A0419E" w:rsidRPr="001273E2" w:rsidRDefault="00A0419E" w:rsidP="001273E2">
      <w:pPr>
        <w:shd w:val="clear" w:color="auto" w:fill="FFFFFF"/>
        <w:spacing w:after="75" w:line="240" w:lineRule="auto"/>
        <w:rPr>
          <w:rFonts w:eastAsia="Times New Roman" w:cs="Arial"/>
          <w:color w:val="FF0000"/>
          <w:sz w:val="24"/>
          <w:szCs w:val="24"/>
          <w:lang w:eastAsia="pt-BR"/>
        </w:rPr>
      </w:pPr>
    </w:p>
    <w:p w:rsidR="00EF6592" w:rsidRPr="001273E2" w:rsidRDefault="00EF6592" w:rsidP="001273E2">
      <w:pPr>
        <w:spacing w:after="0" w:line="240" w:lineRule="auto"/>
        <w:rPr>
          <w:rFonts w:eastAsia="Times New Roman" w:cs="Arial"/>
          <w:b/>
          <w:bCs/>
          <w:caps/>
          <w:color w:val="172938"/>
          <w:sz w:val="24"/>
          <w:szCs w:val="24"/>
          <w:shd w:val="clear" w:color="auto" w:fill="FFFFFF"/>
          <w:lang w:eastAsia="pt-BR"/>
        </w:rPr>
      </w:pPr>
      <w:r w:rsidRPr="001273E2">
        <w:rPr>
          <w:rFonts w:eastAsia="Times New Roman" w:cs="Arial"/>
          <w:b/>
          <w:bCs/>
          <w:caps/>
          <w:color w:val="172938"/>
          <w:sz w:val="24"/>
          <w:szCs w:val="24"/>
          <w:shd w:val="clear" w:color="auto" w:fill="FFFFFF"/>
          <w:lang w:eastAsia="pt-BR"/>
        </w:rPr>
        <w:t>CIRCULAR Nº 57, DE 22 DE NOVEMBRO DE 2018</w:t>
      </w:r>
    </w:p>
    <w:p w:rsidR="00EF6592" w:rsidRPr="001273E2" w:rsidRDefault="00EF6592" w:rsidP="001273E2">
      <w:pPr>
        <w:spacing w:after="0" w:line="240" w:lineRule="auto"/>
        <w:ind w:firstLine="1200"/>
        <w:rPr>
          <w:rFonts w:eastAsia="Times New Roman" w:cs="Arial"/>
          <w:color w:val="162937"/>
          <w:sz w:val="24"/>
          <w:szCs w:val="24"/>
          <w:shd w:val="clear" w:color="auto" w:fill="FFFFFF"/>
          <w:lang w:eastAsia="pt-BR"/>
        </w:rPr>
      </w:pPr>
      <w:r w:rsidRPr="001273E2">
        <w:rPr>
          <w:rFonts w:eastAsia="Times New Roman" w:cs="Arial"/>
          <w:color w:val="162937"/>
          <w:sz w:val="24"/>
          <w:szCs w:val="24"/>
          <w:shd w:val="clear" w:color="auto" w:fill="FFFFFF"/>
          <w:lang w:eastAsia="pt-BR"/>
        </w:rPr>
        <w:t xml:space="preserve">O SECRETÁRIO DE COMÉRCIO EXTERIOR DO MINISTÉRIO DA INDÚSTRIA, COMÉRCIO EXTERIOR E SERVIÇOS, em consonância com o disposto no Acordo sobre a Implementação do Artigo VI do Acordo Geral sobre Tarifas e Comércio - GATT 1994, aprovado pelo Decreto Legislativo no30, de 15 de dezembro de 1994, promulgado pelo Decreto no1.355, de 30 de dezembro de 1994 e o contido no Decreto no8.058, de 26 de julho de 2013, especialmente o previsto nos </w:t>
      </w:r>
      <w:proofErr w:type="spellStart"/>
      <w:r w:rsidRPr="001273E2">
        <w:rPr>
          <w:rFonts w:eastAsia="Times New Roman" w:cs="Arial"/>
          <w:color w:val="162937"/>
          <w:sz w:val="24"/>
          <w:szCs w:val="24"/>
          <w:shd w:val="clear" w:color="auto" w:fill="FFFFFF"/>
          <w:lang w:eastAsia="pt-BR"/>
        </w:rPr>
        <w:t>arts</w:t>
      </w:r>
      <w:proofErr w:type="spellEnd"/>
      <w:r w:rsidRPr="001273E2">
        <w:rPr>
          <w:rFonts w:eastAsia="Times New Roman" w:cs="Arial"/>
          <w:color w:val="162937"/>
          <w:sz w:val="24"/>
          <w:szCs w:val="24"/>
          <w:shd w:val="clear" w:color="auto" w:fill="FFFFFF"/>
          <w:lang w:eastAsia="pt-BR"/>
        </w:rPr>
        <w:t xml:space="preserve">. 5oe 112, e tendo em vista o constante no Processo MDIC/SECEX 52272.001196/2017-18, decide prorrogar por até dois meses, </w:t>
      </w:r>
      <w:r w:rsidRPr="001273E2">
        <w:rPr>
          <w:rFonts w:eastAsia="Times New Roman" w:cs="Arial"/>
          <w:color w:val="162937"/>
          <w:sz w:val="24"/>
          <w:szCs w:val="24"/>
          <w:shd w:val="clear" w:color="auto" w:fill="FFFFFF"/>
          <w:lang w:eastAsia="pt-BR"/>
        </w:rPr>
        <w:lastRenderedPageBreak/>
        <w:t>a partir de 6 de dezembro de 2018, o prazo para conclusão da revisão de final de período do direito antidumping aplicado às exportações para o Brasil de leite em pó, integral ou desnatado, não fracionado, usualmente classificado nos itens 0402.10.10, 0402.10.90, 0402.21.10, 0402.21.20, 0402.29.10 e 0402.29.20 da Nomenclatura Comum do Mercosul - NCM, originário da União Europeia e da Nova Zelândia, iniciada por intermédio da Circular SECEX no7, de 5 de fevereiro de 2018, publicada no Diário Oficial da União - D.O.U. de 6 de fevereiro de 2018.</w:t>
      </w:r>
    </w:p>
    <w:p w:rsidR="00EF6592" w:rsidRPr="001273E2" w:rsidRDefault="00EF6592" w:rsidP="001273E2">
      <w:pPr>
        <w:spacing w:after="0" w:line="240" w:lineRule="auto"/>
        <w:rPr>
          <w:rFonts w:eastAsia="Times New Roman" w:cs="Arial"/>
          <w:caps/>
          <w:color w:val="162937"/>
          <w:sz w:val="24"/>
          <w:szCs w:val="24"/>
          <w:shd w:val="clear" w:color="auto" w:fill="FFFFFF"/>
          <w:lang w:eastAsia="pt-BR"/>
        </w:rPr>
      </w:pPr>
      <w:r w:rsidRPr="001273E2">
        <w:rPr>
          <w:rFonts w:eastAsia="Times New Roman" w:cs="Arial"/>
          <w:caps/>
          <w:color w:val="162937"/>
          <w:sz w:val="24"/>
          <w:szCs w:val="24"/>
          <w:shd w:val="clear" w:color="auto" w:fill="FFFFFF"/>
          <w:lang w:eastAsia="pt-BR"/>
        </w:rPr>
        <w:t>ABRÃO MIGUEL ÁRABE NETO</w:t>
      </w:r>
    </w:p>
    <w:p w:rsidR="00EF6592" w:rsidRDefault="00EF6592" w:rsidP="001273E2">
      <w:pPr>
        <w:shd w:val="clear" w:color="auto" w:fill="FFFFFF"/>
        <w:spacing w:after="75" w:line="240" w:lineRule="auto"/>
        <w:rPr>
          <w:rFonts w:eastAsia="Times New Roman" w:cs="Arial"/>
          <w:color w:val="FF0000"/>
          <w:sz w:val="24"/>
          <w:szCs w:val="24"/>
          <w:lang w:eastAsia="pt-BR"/>
        </w:rPr>
      </w:pPr>
    </w:p>
    <w:p w:rsidR="00875E00" w:rsidRDefault="00875E00" w:rsidP="001273E2">
      <w:pPr>
        <w:shd w:val="clear" w:color="auto" w:fill="FFFFFF"/>
        <w:spacing w:after="75" w:line="240" w:lineRule="auto"/>
        <w:rPr>
          <w:rFonts w:eastAsia="Times New Roman" w:cs="Arial"/>
          <w:color w:val="FF0000"/>
          <w:sz w:val="24"/>
          <w:szCs w:val="24"/>
          <w:lang w:eastAsia="pt-BR"/>
        </w:rPr>
      </w:pPr>
    </w:p>
    <w:p w:rsidR="00875E00" w:rsidRPr="001273E2" w:rsidRDefault="00875E00" w:rsidP="001273E2">
      <w:pPr>
        <w:shd w:val="clear" w:color="auto" w:fill="FFFFFF"/>
        <w:spacing w:after="75" w:line="240" w:lineRule="auto"/>
        <w:rPr>
          <w:rFonts w:eastAsia="Times New Roman" w:cs="Arial"/>
          <w:color w:val="FF0000"/>
          <w:sz w:val="24"/>
          <w:szCs w:val="24"/>
          <w:lang w:eastAsia="pt-BR"/>
        </w:rPr>
      </w:pPr>
    </w:p>
    <w:p w:rsidR="00EF6592" w:rsidRPr="001273E2" w:rsidRDefault="00EF6592" w:rsidP="001273E2">
      <w:pPr>
        <w:shd w:val="clear" w:color="auto" w:fill="FFFFFF"/>
        <w:spacing w:after="0" w:line="240" w:lineRule="auto"/>
        <w:rPr>
          <w:rFonts w:eastAsia="Times New Roman" w:cs="Arial"/>
          <w:b/>
          <w:bCs/>
          <w:caps/>
          <w:color w:val="172938"/>
          <w:sz w:val="24"/>
          <w:szCs w:val="24"/>
          <w:lang w:eastAsia="pt-BR"/>
        </w:rPr>
      </w:pPr>
      <w:r w:rsidRPr="001273E2">
        <w:rPr>
          <w:rFonts w:eastAsia="Times New Roman" w:cs="Arial"/>
          <w:b/>
          <w:bCs/>
          <w:caps/>
          <w:color w:val="172938"/>
          <w:sz w:val="24"/>
          <w:szCs w:val="24"/>
          <w:lang w:eastAsia="pt-BR"/>
        </w:rPr>
        <w:t>CIRCULAR Nº 58, DE 22 DE NOVEMBRO DE 2018</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O SECRETÁRIO DE COMÉRCIO EXTERIOR DO MINISTÉRIO DA INDÚSTRIA, COMÉRCIO EXTERIOR E SERVIÇOS, nos termos do Acordo sobre a Implementação do Artigo VI do Acordo Geral sobre Tarifas e Comércio - GATT 1994, aprovado pelo Decreto Legislativo no30, de 15 de dezembro de 1994, e promulgado pelo Decreto no1.355, de 30 de dezembro de 1994, de acordo com o disposto no art. 5odo Decreto no8.058, de 26 de julho de 2013, e tendo em vista o que consta do Processo MDIC/SECEX 52272.001954/2018-71 e do Parecer no30, de 22 de novembro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 Iniciar revisão do direito antidumping instituído pela Resolução CAMEX nº 99, de 25 de novembro de 2013, publicada no Diário Oficial da União (D.O.U.) de 26 de novembro de 2013, aplicado às importações brasileiras de escovas para cabelo, comumente classificadas no item 9603.29.00 da Nomenclatura Comum do MERCOSUL - NCM, originárias da China.</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1.1. Tornar públicos os fatos que justificaram a decisão de início da revisão, conforme o anexo à presente circular.</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1.2. A data do início da revisão será a da publicação desta circular no Diário Oficial da União - D.O.U.</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2. A análise da probabilidade de continuação ou retomada do dumping que antecedeu o início da revisão considerou o período de abril de 2017 a março de 2018. Já a análise da probabilidade de continuação ou retomada do dano que antecedeu o início da revisão considerou o período de abril de 2013 a março de 2018.</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3. A participação das partes interessadas no curso desta revisão de medida de defesa comercial deverá realizar-se necessariamente por meio do Sistema DECOM Digital (SDD), de acordo com a Portaria SECEX nº 30, de 7 de junho de 2018. O endereço do SDD é http://decomdigital.mdic.gov.br.</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4. De acordo com o disposto no § 3odo art. 45 do Decreto no8.058, de 2013, deverá ser respeitado o prazo de vinte dias, contado a partir da data da publicação desta circular no D.O.U., para que outras partes que se considerem interessadas e seus respectivos representantes legais solicitem sua habilitação no referido processo.</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5. A participação das partes interessadas no curso desta revisão de medida de defesa comercial deverá realizar-se por meio de representante legal habilitado junto </w:t>
      </w:r>
      <w:r w:rsidRPr="001273E2">
        <w:rPr>
          <w:rFonts w:eastAsia="Times New Roman" w:cs="Arial"/>
          <w:color w:val="162937"/>
          <w:sz w:val="24"/>
          <w:szCs w:val="24"/>
          <w:lang w:eastAsia="pt-BR"/>
        </w:rPr>
        <w:lastRenderedPageBreak/>
        <w:t>ao DECOM,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7. Na forma do que dispõe o art. 50 do Decreto no8.058, de 2013, serão remetidos questionários aos produtores ou exportadores conhecidos, aos importadores conhecidos e aos demais produtores domésticos, conforme definidos no § 2odo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8. Em virtude do grande número de produtores/exportadores da China identificados nos dados detalhados de importação brasileira, de acordo com o disposto no inciso II do art. 28 do Decreto no8.058, de 2013, serão selecionados, para o envio do questionário, os produtores ou exportadores responsáveis pelo maior percentual razoavelmente investigável do volume de exportações do país exportador.</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 xml:space="preserve">9. De acordo com o previsto nos </w:t>
      </w:r>
      <w:proofErr w:type="spellStart"/>
      <w:r w:rsidRPr="001273E2">
        <w:rPr>
          <w:rFonts w:eastAsia="Times New Roman" w:cs="Arial"/>
          <w:color w:val="162937"/>
          <w:sz w:val="24"/>
          <w:szCs w:val="24"/>
          <w:lang w:eastAsia="pt-BR"/>
        </w:rPr>
        <w:t>arts</w:t>
      </w:r>
      <w:proofErr w:type="spellEnd"/>
      <w:r w:rsidRPr="001273E2">
        <w:rPr>
          <w:rFonts w:eastAsia="Times New Roman" w:cs="Arial"/>
          <w:color w:val="162937"/>
          <w:sz w:val="24"/>
          <w:szCs w:val="24"/>
          <w:lang w:eastAsia="pt-BR"/>
        </w:rPr>
        <w:t>. 49 e 58 do Decreto no8.058,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10. Na forma do que dispõem o § 3odo art. 50 e o parágrafo único do art. 179 do Decreto no8.058,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11. Caso se verifique que uma parte interessada prestou informações falsas ou errôneas, tais informações não serão consideradas e poderão ser utilizados os fatos disponíveis.</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12. À luz do disposto no art. 112 do Decreto no8.058, de 2013, a revisão deverá ser concluída no prazo de dez meses, contado de sua data de início, podendo esse prazo ser prorrogado por até dois meses, em circunstâncias excepcionais.</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lastRenderedPageBreak/>
        <w:t>13. De acordo com o contido no § 2º do art. 112 do Decreto no8.058, de 2013, as medidas antidumping de que trata a Resolução CAMEX nº 99, de 2013, permanecerão em vigor, no curso desta revisão.</w:t>
      </w:r>
    </w:p>
    <w:p w:rsidR="00EF6592" w:rsidRPr="001273E2" w:rsidRDefault="00EF6592" w:rsidP="001273E2">
      <w:pPr>
        <w:shd w:val="clear" w:color="auto" w:fill="FFFFFF"/>
        <w:spacing w:after="0" w:line="240" w:lineRule="auto"/>
        <w:ind w:firstLine="1200"/>
        <w:rPr>
          <w:rFonts w:eastAsia="Times New Roman" w:cs="Arial"/>
          <w:color w:val="162937"/>
          <w:sz w:val="24"/>
          <w:szCs w:val="24"/>
          <w:lang w:eastAsia="pt-BR"/>
        </w:rPr>
      </w:pPr>
      <w:r w:rsidRPr="001273E2">
        <w:rPr>
          <w:rFonts w:eastAsia="Times New Roman" w:cs="Arial"/>
          <w:color w:val="162937"/>
          <w:sz w:val="24"/>
          <w:szCs w:val="24"/>
          <w:lang w:eastAsia="pt-BR"/>
        </w:rPr>
        <w:t>14. Esclarecimentos adicionais podem ser obtidos pelo telefone +55 61 2027-9364/7887 ou pelo endereço eletrônico escovasdecabelo@mdic.gov.br.</w:t>
      </w:r>
    </w:p>
    <w:p w:rsidR="00EF6592" w:rsidRPr="001273E2" w:rsidRDefault="00EF6592" w:rsidP="001273E2">
      <w:pPr>
        <w:shd w:val="clear" w:color="auto" w:fill="FFFFFF"/>
        <w:spacing w:after="0" w:line="240" w:lineRule="auto"/>
        <w:rPr>
          <w:rFonts w:eastAsia="Times New Roman" w:cs="Arial"/>
          <w:caps/>
          <w:color w:val="162937"/>
          <w:sz w:val="24"/>
          <w:szCs w:val="24"/>
          <w:lang w:eastAsia="pt-BR"/>
        </w:rPr>
      </w:pPr>
      <w:r w:rsidRPr="001273E2">
        <w:rPr>
          <w:rFonts w:eastAsia="Times New Roman" w:cs="Arial"/>
          <w:caps/>
          <w:color w:val="162937"/>
          <w:sz w:val="24"/>
          <w:szCs w:val="24"/>
          <w:lang w:eastAsia="pt-BR"/>
        </w:rPr>
        <w:t>ABRÃO MIGUEL ÁRABE NETO</w:t>
      </w:r>
    </w:p>
    <w:p w:rsidR="00EF6592" w:rsidRDefault="00EF6592" w:rsidP="001273E2">
      <w:pPr>
        <w:shd w:val="clear" w:color="auto" w:fill="FFFFFF"/>
        <w:spacing w:after="75" w:line="240" w:lineRule="auto"/>
        <w:rPr>
          <w:rFonts w:eastAsia="Times New Roman" w:cs="Arial"/>
          <w:color w:val="FF0000"/>
          <w:sz w:val="24"/>
          <w:szCs w:val="24"/>
          <w:lang w:eastAsia="pt-BR"/>
        </w:rPr>
      </w:pPr>
    </w:p>
    <w:p w:rsidR="00875E00" w:rsidRDefault="00875E00" w:rsidP="001273E2">
      <w:pPr>
        <w:shd w:val="clear" w:color="auto" w:fill="FFFFFF"/>
        <w:spacing w:after="75" w:line="240" w:lineRule="auto"/>
        <w:rPr>
          <w:rFonts w:eastAsia="Times New Roman" w:cs="Arial"/>
          <w:color w:val="FF0000"/>
          <w:sz w:val="24"/>
          <w:szCs w:val="24"/>
          <w:lang w:eastAsia="pt-BR"/>
        </w:rPr>
      </w:pPr>
    </w:p>
    <w:p w:rsidR="00875E00" w:rsidRDefault="00875E00" w:rsidP="001273E2">
      <w:pPr>
        <w:shd w:val="clear" w:color="auto" w:fill="FFFFFF"/>
        <w:spacing w:after="75" w:line="240" w:lineRule="auto"/>
        <w:rPr>
          <w:rFonts w:eastAsia="Times New Roman" w:cs="Arial"/>
          <w:color w:val="FF0000"/>
          <w:sz w:val="24"/>
          <w:szCs w:val="24"/>
          <w:lang w:eastAsia="pt-BR"/>
        </w:rPr>
      </w:pPr>
    </w:p>
    <w:p w:rsidR="00875E00" w:rsidRPr="001273E2" w:rsidRDefault="00875E00" w:rsidP="001273E2">
      <w:pPr>
        <w:shd w:val="clear" w:color="auto" w:fill="FFFFFF"/>
        <w:spacing w:after="75" w:line="240" w:lineRule="auto"/>
        <w:rPr>
          <w:rFonts w:eastAsia="Times New Roman" w:cs="Arial"/>
          <w:color w:val="FF0000"/>
          <w:sz w:val="24"/>
          <w:szCs w:val="24"/>
          <w:lang w:eastAsia="pt-BR"/>
        </w:rPr>
      </w:pPr>
    </w:p>
    <w:p w:rsidR="00EF6592" w:rsidRPr="001273E2" w:rsidRDefault="00EF6592" w:rsidP="001273E2">
      <w:pPr>
        <w:pStyle w:val="NormalWeb"/>
        <w:spacing w:before="0" w:beforeAutospacing="0" w:after="0" w:afterAutospacing="0" w:line="420" w:lineRule="atLeast"/>
        <w:jc w:val="both"/>
        <w:textAlignment w:val="baseline"/>
        <w:rPr>
          <w:rFonts w:asciiTheme="minorHAnsi" w:hAnsiTheme="minorHAnsi"/>
          <w:color w:val="000000"/>
        </w:rPr>
      </w:pPr>
    </w:p>
    <w:p w:rsidR="001F58A8" w:rsidRPr="001273E2" w:rsidRDefault="00875E00" w:rsidP="001273E2">
      <w:pPr>
        <w:shd w:val="clear" w:color="auto" w:fill="FFFFFF"/>
        <w:spacing w:after="150" w:line="420" w:lineRule="atLeast"/>
        <w:textAlignment w:val="baseline"/>
        <w:rPr>
          <w:rFonts w:eastAsia="Times New Roman" w:cs="Arial"/>
          <w:color w:val="000000"/>
          <w:sz w:val="24"/>
          <w:szCs w:val="24"/>
          <w:lang w:eastAsia="pt-BR"/>
        </w:rPr>
      </w:pPr>
      <w:r>
        <w:rPr>
          <w:rFonts w:eastAsia="Times New Roman" w:cs="Arial"/>
          <w:color w:val="000000"/>
          <w:sz w:val="24"/>
          <w:szCs w:val="24"/>
          <w:lang w:eastAsia="pt-BR"/>
        </w:rPr>
        <w:t>R</w:t>
      </w:r>
      <w:r w:rsidR="001F58A8" w:rsidRPr="001273E2">
        <w:rPr>
          <w:rFonts w:eastAsia="Times New Roman" w:cs="Arial"/>
          <w:color w:val="000000"/>
          <w:sz w:val="24"/>
          <w:szCs w:val="24"/>
          <w:lang w:eastAsia="pt-BR"/>
        </w:rPr>
        <w:t xml:space="preserve">ESOLUÇÃO Nº 88, DE 29 DE </w:t>
      </w:r>
      <w:proofErr w:type="gramStart"/>
      <w:r w:rsidR="001F58A8" w:rsidRPr="001273E2">
        <w:rPr>
          <w:rFonts w:eastAsia="Times New Roman" w:cs="Arial"/>
          <w:color w:val="000000"/>
          <w:sz w:val="24"/>
          <w:szCs w:val="24"/>
          <w:lang w:eastAsia="pt-BR"/>
        </w:rPr>
        <w:t>NOVEMBRO  DE</w:t>
      </w:r>
      <w:proofErr w:type="gramEnd"/>
      <w:r w:rsidR="001F58A8" w:rsidRPr="001273E2">
        <w:rPr>
          <w:rFonts w:eastAsia="Times New Roman" w:cs="Arial"/>
          <w:color w:val="000000"/>
          <w:sz w:val="24"/>
          <w:szCs w:val="24"/>
          <w:lang w:eastAsia="pt-BR"/>
        </w:rPr>
        <w:t xml:space="preserve"> 2018</w:t>
      </w:r>
    </w:p>
    <w:p w:rsidR="001F58A8" w:rsidRPr="001273E2" w:rsidRDefault="001F58A8" w:rsidP="001273E2">
      <w:pPr>
        <w:shd w:val="clear" w:color="auto" w:fill="FFFFFF"/>
        <w:spacing w:after="150" w:line="420" w:lineRule="atLeast"/>
        <w:textAlignment w:val="baseline"/>
        <w:rPr>
          <w:rFonts w:eastAsia="Times New Roman" w:cs="Arial"/>
          <w:color w:val="000000"/>
          <w:sz w:val="24"/>
          <w:szCs w:val="24"/>
          <w:lang w:eastAsia="pt-BR"/>
        </w:rPr>
      </w:pPr>
      <w:r w:rsidRPr="001273E2">
        <w:rPr>
          <w:rFonts w:eastAsia="Times New Roman" w:cs="Arial"/>
          <w:color w:val="000000"/>
          <w:sz w:val="24"/>
          <w:szCs w:val="24"/>
          <w:lang w:eastAsia="pt-BR"/>
        </w:rPr>
        <w:t>(Publicada no D.O.U em 30/11/2018)</w:t>
      </w:r>
    </w:p>
    <w:p w:rsidR="001F58A8" w:rsidRPr="001273E2" w:rsidRDefault="001F58A8" w:rsidP="001273E2">
      <w:pPr>
        <w:shd w:val="clear" w:color="auto" w:fill="FFFFFF"/>
        <w:spacing w:after="150" w:line="420" w:lineRule="atLeast"/>
        <w:textAlignment w:val="baseline"/>
        <w:rPr>
          <w:rFonts w:eastAsia="Times New Roman" w:cs="Arial"/>
          <w:color w:val="000000"/>
          <w:sz w:val="24"/>
          <w:szCs w:val="24"/>
          <w:lang w:eastAsia="pt-BR"/>
        </w:rPr>
      </w:pPr>
      <w:r w:rsidRPr="001273E2">
        <w:rPr>
          <w:rFonts w:eastAsia="Times New Roman" w:cs="Arial"/>
          <w:color w:val="000000"/>
          <w:sz w:val="24"/>
          <w:szCs w:val="24"/>
          <w:lang w:eastAsia="pt-BR"/>
        </w:rPr>
        <w:t xml:space="preserve">Instaura processo de avaliação de interesse público, pelo Grupo Técnico de Avaliação de Interesse Público – </w:t>
      </w:r>
      <w:proofErr w:type="spellStart"/>
      <w:r w:rsidRPr="001273E2">
        <w:rPr>
          <w:rFonts w:eastAsia="Times New Roman" w:cs="Arial"/>
          <w:color w:val="000000"/>
          <w:sz w:val="24"/>
          <w:szCs w:val="24"/>
          <w:lang w:eastAsia="pt-BR"/>
        </w:rPr>
        <w:t>Gtip</w:t>
      </w:r>
      <w:proofErr w:type="spellEnd"/>
      <w:r w:rsidRPr="001273E2">
        <w:rPr>
          <w:rFonts w:eastAsia="Times New Roman" w:cs="Arial"/>
          <w:color w:val="000000"/>
          <w:sz w:val="24"/>
          <w:szCs w:val="24"/>
          <w:lang w:eastAsia="pt-BR"/>
        </w:rPr>
        <w:t xml:space="preserve">, referente à possível aplicação de direito antidumping sobre as importações brasileiras de filmes, chapas, folhas, películas, tiras e lâminas, biaxialmente orientados, de poli(tereftalato de etileno), de espessura igual ou superior a 5 micrômetros, e igual ou inferior a 50 micrômetros, metalizadas ou não, sem tratamento ou com tratamento tipo </w:t>
      </w:r>
      <w:proofErr w:type="spellStart"/>
      <w:r w:rsidRPr="001273E2">
        <w:rPr>
          <w:rFonts w:eastAsia="Times New Roman" w:cs="Arial"/>
          <w:color w:val="000000"/>
          <w:sz w:val="24"/>
          <w:szCs w:val="24"/>
          <w:lang w:eastAsia="pt-BR"/>
        </w:rPr>
        <w:t>coextrusão</w:t>
      </w:r>
      <w:proofErr w:type="spellEnd"/>
      <w:r w:rsidRPr="001273E2">
        <w:rPr>
          <w:rFonts w:eastAsia="Times New Roman" w:cs="Arial"/>
          <w:color w:val="000000"/>
          <w:sz w:val="24"/>
          <w:szCs w:val="24"/>
          <w:lang w:eastAsia="pt-BR"/>
        </w:rPr>
        <w:t xml:space="preserve">, químico ou com descarga de corona (Filmes PET), originárias do </w:t>
      </w:r>
      <w:proofErr w:type="spellStart"/>
      <w:r w:rsidRPr="001273E2">
        <w:rPr>
          <w:rFonts w:eastAsia="Times New Roman" w:cs="Arial"/>
          <w:color w:val="000000"/>
          <w:sz w:val="24"/>
          <w:szCs w:val="24"/>
          <w:lang w:eastAsia="pt-BR"/>
        </w:rPr>
        <w:t>Bareine</w:t>
      </w:r>
      <w:proofErr w:type="spellEnd"/>
      <w:r w:rsidRPr="001273E2">
        <w:rPr>
          <w:rFonts w:eastAsia="Times New Roman" w:cs="Arial"/>
          <w:color w:val="000000"/>
          <w:sz w:val="24"/>
          <w:szCs w:val="24"/>
          <w:lang w:eastAsia="pt-BR"/>
        </w:rPr>
        <w:t xml:space="preserve"> e do Peru.</w:t>
      </w:r>
    </w:p>
    <w:p w:rsidR="001F58A8" w:rsidRPr="001273E2" w:rsidRDefault="001F58A8" w:rsidP="001273E2">
      <w:pPr>
        <w:shd w:val="clear" w:color="auto" w:fill="FFFFFF"/>
        <w:spacing w:after="0" w:line="420" w:lineRule="atLeast"/>
        <w:textAlignment w:val="baseline"/>
        <w:rPr>
          <w:rFonts w:eastAsia="Times New Roman" w:cs="Arial"/>
          <w:color w:val="000000"/>
          <w:sz w:val="24"/>
          <w:szCs w:val="24"/>
          <w:lang w:eastAsia="pt-BR"/>
        </w:rPr>
      </w:pPr>
      <w:r w:rsidRPr="001273E2">
        <w:rPr>
          <w:rFonts w:eastAsia="Times New Roman" w:cs="Arial"/>
          <w:b/>
          <w:bCs/>
          <w:color w:val="000000"/>
          <w:sz w:val="24"/>
          <w:szCs w:val="24"/>
          <w:lang w:eastAsia="pt-BR"/>
        </w:rPr>
        <w:t>O COMITÊ EXECUTIVO DE GESTÃO DA CÂMARA DE COMÉRCIO EXTERIOR</w:t>
      </w:r>
      <w:r w:rsidRPr="001273E2">
        <w:rPr>
          <w:rFonts w:eastAsia="Times New Roman" w:cs="Arial"/>
          <w:color w:val="000000"/>
          <w:sz w:val="24"/>
          <w:szCs w:val="24"/>
          <w:lang w:eastAsia="pt-BR"/>
        </w:rPr>
        <w:t>, no uso da atribuição que lhe conferem o art. 2º, VIII,  e o art. 5º, § 4º, inciso II, do Decreto nº 4.732, de 10 de junho de 2003, com fundamento no art. 3º, § 5º, do Decreto nº 8.058, de 26 de julho de 2013 e no art. 7º da Resolução CAMEX n° 29, de 7 de abril de 2017, tendo em vista a deliberação de sua 162ª reunião, realizada em 28 de novembro de 2018, e o que consta Nota Técnica SEI nº 30/2018/COPOL/SUREC/SAIN-MF, de 6 de novembro de 2018,</w:t>
      </w:r>
    </w:p>
    <w:p w:rsidR="001F58A8" w:rsidRPr="001273E2" w:rsidRDefault="001F58A8" w:rsidP="001273E2">
      <w:pPr>
        <w:shd w:val="clear" w:color="auto" w:fill="FFFFFF"/>
        <w:spacing w:after="0" w:line="420" w:lineRule="atLeast"/>
        <w:textAlignment w:val="baseline"/>
        <w:rPr>
          <w:rFonts w:eastAsia="Times New Roman" w:cs="Arial"/>
          <w:color w:val="000000"/>
          <w:sz w:val="24"/>
          <w:szCs w:val="24"/>
          <w:lang w:eastAsia="pt-BR"/>
        </w:rPr>
      </w:pPr>
      <w:r w:rsidRPr="001273E2">
        <w:rPr>
          <w:rFonts w:eastAsia="Times New Roman" w:cs="Arial"/>
          <w:b/>
          <w:bCs/>
          <w:color w:val="000000"/>
          <w:sz w:val="24"/>
          <w:szCs w:val="24"/>
          <w:lang w:eastAsia="pt-BR"/>
        </w:rPr>
        <w:t>RESOLVEU, ad referendum </w:t>
      </w:r>
      <w:r w:rsidRPr="001273E2">
        <w:rPr>
          <w:rFonts w:eastAsia="Times New Roman" w:cs="Arial"/>
          <w:color w:val="000000"/>
          <w:sz w:val="24"/>
          <w:szCs w:val="24"/>
          <w:lang w:eastAsia="pt-BR"/>
        </w:rPr>
        <w:t>do Conselho de Ministros:</w:t>
      </w:r>
    </w:p>
    <w:p w:rsidR="001F58A8" w:rsidRPr="001273E2" w:rsidRDefault="001F58A8" w:rsidP="001273E2">
      <w:pPr>
        <w:shd w:val="clear" w:color="auto" w:fill="FFFFFF"/>
        <w:spacing w:after="150" w:line="420" w:lineRule="atLeast"/>
        <w:textAlignment w:val="baseline"/>
        <w:rPr>
          <w:rFonts w:eastAsia="Times New Roman" w:cs="Arial"/>
          <w:color w:val="000000"/>
          <w:sz w:val="24"/>
          <w:szCs w:val="24"/>
          <w:lang w:eastAsia="pt-BR"/>
        </w:rPr>
      </w:pPr>
      <w:r w:rsidRPr="001273E2">
        <w:rPr>
          <w:rFonts w:eastAsia="Times New Roman" w:cs="Arial"/>
          <w:color w:val="000000"/>
          <w:sz w:val="24"/>
          <w:szCs w:val="24"/>
          <w:lang w:eastAsia="pt-BR"/>
        </w:rPr>
        <w:t> </w:t>
      </w:r>
    </w:p>
    <w:p w:rsidR="001F58A8" w:rsidRPr="001273E2" w:rsidRDefault="001F58A8" w:rsidP="001273E2">
      <w:pPr>
        <w:shd w:val="clear" w:color="auto" w:fill="FFFFFF"/>
        <w:spacing w:after="150" w:line="420" w:lineRule="atLeast"/>
        <w:textAlignment w:val="baseline"/>
        <w:rPr>
          <w:rFonts w:eastAsia="Times New Roman" w:cs="Arial"/>
          <w:color w:val="000000"/>
          <w:sz w:val="24"/>
          <w:szCs w:val="24"/>
          <w:lang w:eastAsia="pt-BR"/>
        </w:rPr>
      </w:pPr>
      <w:r w:rsidRPr="001273E2">
        <w:rPr>
          <w:rFonts w:eastAsia="Times New Roman" w:cs="Arial"/>
          <w:color w:val="000000"/>
          <w:sz w:val="24"/>
          <w:szCs w:val="24"/>
          <w:lang w:eastAsia="pt-BR"/>
        </w:rPr>
        <w:t xml:space="preserve">Art. 1º Fica instaurado processo de avaliação de interesse público pelo Grupo Técnico de Avaliação de Interesse Público – </w:t>
      </w:r>
      <w:proofErr w:type="spellStart"/>
      <w:r w:rsidRPr="001273E2">
        <w:rPr>
          <w:rFonts w:eastAsia="Times New Roman" w:cs="Arial"/>
          <w:color w:val="000000"/>
          <w:sz w:val="24"/>
          <w:szCs w:val="24"/>
          <w:lang w:eastAsia="pt-BR"/>
        </w:rPr>
        <w:t>Gtip</w:t>
      </w:r>
      <w:proofErr w:type="spellEnd"/>
      <w:r w:rsidRPr="001273E2">
        <w:rPr>
          <w:rFonts w:eastAsia="Times New Roman" w:cs="Arial"/>
          <w:color w:val="000000"/>
          <w:sz w:val="24"/>
          <w:szCs w:val="24"/>
          <w:lang w:eastAsia="pt-BR"/>
        </w:rPr>
        <w:t xml:space="preserve">, referente à possível aplicação de direito antidumping sobre as importações brasileiras filmes, chapas, folhas, películas, tiras e lâminas, biaxialmente orientados, de poli(tereftalato de etileno), de espessura igual ou superior a 5 micrômetros, e igual ou inferior a 50 micrômetros, metalizadas ou não, sem </w:t>
      </w:r>
      <w:r w:rsidRPr="001273E2">
        <w:rPr>
          <w:rFonts w:eastAsia="Times New Roman" w:cs="Arial"/>
          <w:color w:val="000000"/>
          <w:sz w:val="24"/>
          <w:szCs w:val="24"/>
          <w:lang w:eastAsia="pt-BR"/>
        </w:rPr>
        <w:lastRenderedPageBreak/>
        <w:t xml:space="preserve">tratamento ou com tratamento tipo </w:t>
      </w:r>
      <w:proofErr w:type="spellStart"/>
      <w:r w:rsidRPr="001273E2">
        <w:rPr>
          <w:rFonts w:eastAsia="Times New Roman" w:cs="Arial"/>
          <w:color w:val="000000"/>
          <w:sz w:val="24"/>
          <w:szCs w:val="24"/>
          <w:lang w:eastAsia="pt-BR"/>
        </w:rPr>
        <w:t>coextrusão</w:t>
      </w:r>
      <w:proofErr w:type="spellEnd"/>
      <w:r w:rsidRPr="001273E2">
        <w:rPr>
          <w:rFonts w:eastAsia="Times New Roman" w:cs="Arial"/>
          <w:color w:val="000000"/>
          <w:sz w:val="24"/>
          <w:szCs w:val="24"/>
          <w:lang w:eastAsia="pt-BR"/>
        </w:rPr>
        <w:t xml:space="preserve">, químico ou com descarga de corona (Filmes PET), comumente classificados nos subitens 3920.62.19, 3920.62.91 e 3920.62.99 da Nomenclatura Comum do Mercosul, originárias do </w:t>
      </w:r>
      <w:proofErr w:type="spellStart"/>
      <w:r w:rsidRPr="001273E2">
        <w:rPr>
          <w:rFonts w:eastAsia="Times New Roman" w:cs="Arial"/>
          <w:color w:val="000000"/>
          <w:sz w:val="24"/>
          <w:szCs w:val="24"/>
          <w:lang w:eastAsia="pt-BR"/>
        </w:rPr>
        <w:t>Bareine</w:t>
      </w:r>
      <w:proofErr w:type="spellEnd"/>
      <w:r w:rsidRPr="001273E2">
        <w:rPr>
          <w:rFonts w:eastAsia="Times New Roman" w:cs="Arial"/>
          <w:color w:val="000000"/>
          <w:sz w:val="24"/>
          <w:szCs w:val="24"/>
          <w:lang w:eastAsia="pt-BR"/>
        </w:rPr>
        <w:t xml:space="preserve"> e do Peru.</w:t>
      </w:r>
    </w:p>
    <w:p w:rsidR="001F58A8" w:rsidRPr="001273E2" w:rsidRDefault="001F58A8" w:rsidP="001273E2">
      <w:pPr>
        <w:shd w:val="clear" w:color="auto" w:fill="FFFFFF"/>
        <w:spacing w:after="150" w:line="420" w:lineRule="atLeast"/>
        <w:textAlignment w:val="baseline"/>
        <w:rPr>
          <w:rFonts w:eastAsia="Times New Roman" w:cs="Arial"/>
          <w:color w:val="000000"/>
          <w:sz w:val="24"/>
          <w:szCs w:val="24"/>
          <w:lang w:eastAsia="pt-BR"/>
        </w:rPr>
      </w:pPr>
      <w:r w:rsidRPr="001273E2">
        <w:rPr>
          <w:rFonts w:eastAsia="Times New Roman" w:cs="Arial"/>
          <w:color w:val="000000"/>
          <w:sz w:val="24"/>
          <w:szCs w:val="24"/>
          <w:lang w:eastAsia="pt-BR"/>
        </w:rPr>
        <w:t> </w:t>
      </w:r>
    </w:p>
    <w:p w:rsidR="001F58A8" w:rsidRPr="001273E2" w:rsidRDefault="001F58A8" w:rsidP="001273E2">
      <w:pPr>
        <w:shd w:val="clear" w:color="auto" w:fill="FFFFFF"/>
        <w:spacing w:after="150" w:line="420" w:lineRule="atLeast"/>
        <w:textAlignment w:val="baseline"/>
        <w:rPr>
          <w:rFonts w:eastAsia="Times New Roman" w:cs="Arial"/>
          <w:color w:val="000000"/>
          <w:sz w:val="24"/>
          <w:szCs w:val="24"/>
          <w:lang w:eastAsia="pt-BR"/>
        </w:rPr>
      </w:pPr>
      <w:r w:rsidRPr="001273E2">
        <w:rPr>
          <w:rFonts w:eastAsia="Times New Roman" w:cs="Arial"/>
          <w:color w:val="000000"/>
          <w:sz w:val="24"/>
          <w:szCs w:val="24"/>
          <w:lang w:eastAsia="pt-BR"/>
        </w:rPr>
        <w:t>Art. 2º Esta Resolução entra em vigor na data de sua publicação.</w:t>
      </w:r>
    </w:p>
    <w:p w:rsidR="001F58A8" w:rsidRPr="001273E2" w:rsidRDefault="001F58A8" w:rsidP="001273E2">
      <w:pPr>
        <w:shd w:val="clear" w:color="auto" w:fill="FFFFFF"/>
        <w:spacing w:after="0" w:line="420" w:lineRule="atLeast"/>
        <w:textAlignment w:val="baseline"/>
        <w:rPr>
          <w:rFonts w:eastAsia="Times New Roman" w:cs="Arial"/>
          <w:color w:val="000000"/>
          <w:sz w:val="24"/>
          <w:szCs w:val="24"/>
          <w:lang w:eastAsia="pt-BR"/>
        </w:rPr>
      </w:pPr>
      <w:r w:rsidRPr="001273E2">
        <w:rPr>
          <w:rFonts w:eastAsia="Times New Roman" w:cs="Arial"/>
          <w:b/>
          <w:bCs/>
          <w:color w:val="000000"/>
          <w:sz w:val="24"/>
          <w:szCs w:val="24"/>
          <w:lang w:eastAsia="pt-BR"/>
        </w:rPr>
        <w:t>MARCOS JORGE DE LIMA</w:t>
      </w:r>
    </w:p>
    <w:p w:rsidR="001F58A8" w:rsidRPr="001273E2" w:rsidRDefault="001F58A8" w:rsidP="001273E2">
      <w:pPr>
        <w:shd w:val="clear" w:color="auto" w:fill="FFFFFF"/>
        <w:spacing w:after="0" w:line="420" w:lineRule="atLeast"/>
        <w:textAlignment w:val="baseline"/>
        <w:rPr>
          <w:rFonts w:eastAsia="Times New Roman" w:cs="Arial"/>
          <w:color w:val="000000"/>
          <w:sz w:val="24"/>
          <w:szCs w:val="24"/>
          <w:lang w:eastAsia="pt-BR"/>
        </w:rPr>
      </w:pPr>
      <w:r w:rsidRPr="001273E2">
        <w:rPr>
          <w:rFonts w:eastAsia="Times New Roman" w:cs="Arial"/>
          <w:color w:val="000000"/>
          <w:sz w:val="24"/>
          <w:szCs w:val="24"/>
          <w:lang w:eastAsia="pt-BR"/>
        </w:rPr>
        <w:t>Presidente do Comitê Executivo de Gestão</w:t>
      </w:r>
    </w:p>
    <w:p w:rsidR="001F58A8" w:rsidRPr="001273E2" w:rsidRDefault="001F58A8" w:rsidP="001273E2">
      <w:pPr>
        <w:pStyle w:val="NormalWeb"/>
        <w:spacing w:before="0" w:beforeAutospacing="0" w:after="0" w:afterAutospacing="0" w:line="420" w:lineRule="atLeast"/>
        <w:jc w:val="both"/>
        <w:textAlignment w:val="baseline"/>
        <w:rPr>
          <w:rFonts w:asciiTheme="minorHAnsi" w:hAnsiTheme="minorHAnsi"/>
          <w:color w:val="000000"/>
        </w:rPr>
      </w:pPr>
    </w:p>
    <w:p w:rsidR="001F58A8" w:rsidRPr="001273E2" w:rsidRDefault="001F58A8" w:rsidP="001273E2">
      <w:pPr>
        <w:pStyle w:val="NormalWeb"/>
        <w:spacing w:before="0" w:beforeAutospacing="0" w:after="0" w:afterAutospacing="0" w:line="420" w:lineRule="atLeast"/>
        <w:jc w:val="both"/>
        <w:textAlignment w:val="baseline"/>
        <w:rPr>
          <w:rFonts w:asciiTheme="minorHAnsi" w:hAnsiTheme="minorHAnsi"/>
          <w:color w:val="000000"/>
        </w:rPr>
      </w:pPr>
    </w:p>
    <w:p w:rsidR="001F58A8" w:rsidRPr="001273E2" w:rsidRDefault="001F58A8" w:rsidP="001273E2">
      <w:pPr>
        <w:pStyle w:val="NormalWeb"/>
        <w:spacing w:before="0" w:beforeAutospacing="0" w:after="0" w:afterAutospacing="0" w:line="420" w:lineRule="atLeast"/>
        <w:jc w:val="both"/>
        <w:textAlignment w:val="baseline"/>
        <w:rPr>
          <w:rFonts w:asciiTheme="minorHAnsi" w:hAnsiTheme="minorHAnsi"/>
          <w:color w:val="000000"/>
        </w:rPr>
      </w:pPr>
      <w:r w:rsidRPr="001273E2">
        <w:rPr>
          <w:rFonts w:asciiTheme="minorHAnsi" w:hAnsiTheme="minorHAnsi"/>
        </w:rPr>
        <w:t xml:space="preserve">CIRCULAR No 59, DE 28 DE NOVEMBRO DE 2018 (Publicada no D.O.U. de 29/11/2018) 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52272.001959/2018-01 e do Parecer no 31, de 28 de novembro de 2018, elaborado pelo Departamento de Defesa Comercial – DECOM desta Secretaria de Comércio Exterior - SECEX, considerando existirem elementos suficientes que indicam que a extinção do direito antidumping aplicado às importações do produto objeto desta Circular levaria, muito provavelmente, à continuação ou retomada do dumping e do dano à indústria doméstica dele decorrente, decide: 1. Iniciar revisão do direito antidumping instituído pela Resolução CAMEX nº 101, de 28 de novembro de 2013, publicada no Diário Oficial da União (D.O.U.) de 29 de novembro de 2013, aplicado às importações brasileiras de alto-falantes, comumente classificadas nos itens 8518.21.00, 8518.22.00 e 8518.29.90 da Nomenclatura Comum do MERCOSUL – NCM, originárias da China. 1.1. Tornar públicos os fatos que justificaram a decisão de início da revisão, conforme o anexo à presente circular. 1.2. A data do início da revisão será a da publicação desta circular no Diário Oficial da União - D.O.U. 2. A análise da probabilidade de continuação ou retomada do dumping que antecedeu o início da revisão considerou o período de abril de 2017 a março de 2018. Já a análise da probabilidade de continuação ou retomada do dano que antecedeu o início da revisão considerou o período de abril de 2013 a março </w:t>
      </w:r>
      <w:r w:rsidRPr="001273E2">
        <w:rPr>
          <w:rFonts w:asciiTheme="minorHAnsi" w:hAnsiTheme="minorHAnsi"/>
        </w:rPr>
        <w:lastRenderedPageBreak/>
        <w:t xml:space="preserve">de 2018. 3. A participação das partes interessadas no curso desta revisão de medida de defesa comercial deverá realizar-se necessariamente por meio do Sistema DECOM Digital (SDD), de acordo com a Portaria SECEX nº 30, de 7 de junho de 2018. O endereço do SDD é http://decomdigital.mdic.gov.br. 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30, de 2018.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(Fls. 2 da Circular SECEX n o 59, de 28/11/2018). Circular SECEX 059_2018 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8. Em virtude do grande número de produtores/exportadores das origens investigadas identificados nos dados detalhados de importação brasileira, de acordo com o disposto no inciso II do art. 28 do Decreto no 8.058, de 2013, serão selecionados, para o envio do questionário, os produtores ou exportadores responsáveis pelo maior percentual </w:t>
      </w:r>
      <w:r w:rsidRPr="001273E2">
        <w:rPr>
          <w:rFonts w:asciiTheme="minorHAnsi" w:hAnsiTheme="minorHAnsi"/>
        </w:rPr>
        <w:lastRenderedPageBreak/>
        <w:t xml:space="preserve">razoavelmente investigável do volume de exportações do país exportador 9. De acordo com o previsto nos </w:t>
      </w:r>
      <w:proofErr w:type="spellStart"/>
      <w:r w:rsidRPr="001273E2">
        <w:rPr>
          <w:rFonts w:asciiTheme="minorHAnsi" w:hAnsiTheme="minorHAnsi"/>
        </w:rPr>
        <w:t>arts</w:t>
      </w:r>
      <w:proofErr w:type="spellEnd"/>
      <w:r w:rsidRPr="001273E2">
        <w:rPr>
          <w:rFonts w:asciiTheme="minorHAnsi" w:hAnsiTheme="minorHAnsi"/>
        </w:rPr>
        <w:t>.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10.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11. Caso se verifique que uma parte interessada prestou informações falsas ou errôneas, tais informações não serão consideradas e poderão ser utilizados os fatos disponíveis. 12. À luz do disposto no art. 112 do Decreto no 8.058, de 2013, a revisão deverá ser concluída no prazo de dez meses, contado de sua data de início, podendo esse prazo ser prorrogado por até dois meses, em circunstâncias excepcionais. 13. De acordo com o contido no § 2º do art. 112 do Decreto no 8.058, de 2013, as medidas antidumping de que trata a Resolução CAMEX nº 101, de 2013, permanecerão em vigor, no curso desta revisão. 14. Esclarecimentos adicionais podem ser obtidos pelo telefone +55 61 2027-9342/7914 ou pelo endereço eletrônico altofalantes@mdic.gov.br. RENATO AGOSTINHO DA SILVA</w:t>
      </w:r>
    </w:p>
    <w:sectPr w:rsidR="001F58A8" w:rsidRPr="001273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7"/>
  </w:num>
  <w:num w:numId="5">
    <w:abstractNumId w:val="15"/>
  </w:num>
  <w:num w:numId="6">
    <w:abstractNumId w:val="4"/>
  </w:num>
  <w:num w:numId="7">
    <w:abstractNumId w:val="10"/>
  </w:num>
  <w:num w:numId="8">
    <w:abstractNumId w:val="6"/>
  </w:num>
  <w:num w:numId="9">
    <w:abstractNumId w:val="2"/>
  </w:num>
  <w:num w:numId="10">
    <w:abstractNumId w:val="11"/>
  </w:num>
  <w:num w:numId="11">
    <w:abstractNumId w:val="3"/>
  </w:num>
  <w:num w:numId="12">
    <w:abstractNumId w:val="16"/>
  </w:num>
  <w:num w:numId="13">
    <w:abstractNumId w:val="5"/>
  </w:num>
  <w:num w:numId="14">
    <w:abstractNumId w:val="14"/>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58A8"/>
    <w:rsid w:val="001F78CE"/>
    <w:rsid w:val="002003D6"/>
    <w:rsid w:val="00200B20"/>
    <w:rsid w:val="002021C5"/>
    <w:rsid w:val="002024DE"/>
    <w:rsid w:val="002049F8"/>
    <w:rsid w:val="002056CF"/>
    <w:rsid w:val="00207745"/>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4274"/>
    <w:rsid w:val="00291EE6"/>
    <w:rsid w:val="00292FEE"/>
    <w:rsid w:val="00293FE3"/>
    <w:rsid w:val="00294F5D"/>
    <w:rsid w:val="0029546B"/>
    <w:rsid w:val="0029677A"/>
    <w:rsid w:val="0029691F"/>
    <w:rsid w:val="002979EA"/>
    <w:rsid w:val="00297D57"/>
    <w:rsid w:val="002A08EF"/>
    <w:rsid w:val="002A2D42"/>
    <w:rsid w:val="002A3664"/>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C5B68"/>
    <w:rsid w:val="002D1078"/>
    <w:rsid w:val="002D3913"/>
    <w:rsid w:val="002D5F13"/>
    <w:rsid w:val="002D64FD"/>
    <w:rsid w:val="002D6A1E"/>
    <w:rsid w:val="002D6EFF"/>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264"/>
    <w:rsid w:val="003319C6"/>
    <w:rsid w:val="003337E9"/>
    <w:rsid w:val="00334346"/>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66981"/>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38C8"/>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2241"/>
    <w:rsid w:val="0059294C"/>
    <w:rsid w:val="0059441E"/>
    <w:rsid w:val="0059649D"/>
    <w:rsid w:val="005968CE"/>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2DB2"/>
    <w:rsid w:val="0063329C"/>
    <w:rsid w:val="00635C5E"/>
    <w:rsid w:val="00637240"/>
    <w:rsid w:val="0063743E"/>
    <w:rsid w:val="006419F1"/>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4E45"/>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A416C"/>
    <w:rsid w:val="008B0A1E"/>
    <w:rsid w:val="008B2CFF"/>
    <w:rsid w:val="008B4DD8"/>
    <w:rsid w:val="008B6114"/>
    <w:rsid w:val="008B7441"/>
    <w:rsid w:val="008B7506"/>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419E"/>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63A4"/>
    <w:rsid w:val="00AA15C1"/>
    <w:rsid w:val="00AA1806"/>
    <w:rsid w:val="00AA1ABE"/>
    <w:rsid w:val="00AA2531"/>
    <w:rsid w:val="00AA25BB"/>
    <w:rsid w:val="00AA2AC4"/>
    <w:rsid w:val="00AA428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84C8E"/>
    <w:rsid w:val="00B908F7"/>
    <w:rsid w:val="00B92AF9"/>
    <w:rsid w:val="00B94D6C"/>
    <w:rsid w:val="00B97918"/>
    <w:rsid w:val="00BA0192"/>
    <w:rsid w:val="00BA4284"/>
    <w:rsid w:val="00BA7F11"/>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B77E1"/>
    <w:rsid w:val="00CC12B5"/>
    <w:rsid w:val="00CC15A4"/>
    <w:rsid w:val="00CC2006"/>
    <w:rsid w:val="00CC33C1"/>
    <w:rsid w:val="00CD068E"/>
    <w:rsid w:val="00CD0D0C"/>
    <w:rsid w:val="00CD0F8F"/>
    <w:rsid w:val="00CD21E3"/>
    <w:rsid w:val="00CD3E37"/>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4BC1"/>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C6ECB"/>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4444"/>
    <w:rsid w:val="00E04FB7"/>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BB8"/>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C7F2"/>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6017</Words>
  <Characters>32497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4</cp:revision>
  <dcterms:created xsi:type="dcterms:W3CDTF">2018-12-27T20:48:00Z</dcterms:created>
  <dcterms:modified xsi:type="dcterms:W3CDTF">2018-12-27T20:52:00Z</dcterms:modified>
</cp:coreProperties>
</file>