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3A0F29">
      <w:pPr>
        <w:spacing w:after="0"/>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FC2E77">
        <w:rPr>
          <w:b/>
          <w:sz w:val="24"/>
          <w:szCs w:val="24"/>
        </w:rPr>
        <w:t>2</w:t>
      </w:r>
      <w:r w:rsidR="00C97163">
        <w:rPr>
          <w:b/>
          <w:sz w:val="24"/>
          <w:szCs w:val="24"/>
        </w:rPr>
        <w:t>1</w:t>
      </w:r>
      <w:r w:rsidR="00A52707">
        <w:rPr>
          <w:b/>
          <w:sz w:val="24"/>
          <w:szCs w:val="24"/>
        </w:rPr>
        <w:t>/201</w:t>
      </w:r>
      <w:r w:rsidR="004E697B">
        <w:rPr>
          <w:b/>
          <w:sz w:val="24"/>
          <w:szCs w:val="24"/>
        </w:rPr>
        <w:t>7</w:t>
      </w:r>
    </w:p>
    <w:p w:rsidR="00746566" w:rsidRPr="00F80E00" w:rsidRDefault="00746566" w:rsidP="003A0F29">
      <w:pPr>
        <w:spacing w:after="0"/>
        <w:rPr>
          <w:b/>
          <w:sz w:val="24"/>
          <w:szCs w:val="24"/>
        </w:rPr>
      </w:pPr>
    </w:p>
    <w:p w:rsidR="00C86DD1" w:rsidRDefault="00C86DD1" w:rsidP="003A0F29">
      <w:pPr>
        <w:rPr>
          <w:sz w:val="24"/>
          <w:szCs w:val="24"/>
        </w:rPr>
      </w:pPr>
    </w:p>
    <w:p w:rsidR="00C3682B" w:rsidRPr="00F80E00" w:rsidRDefault="00C3682B" w:rsidP="003A0F29">
      <w:pPr>
        <w:rPr>
          <w:sz w:val="24"/>
          <w:szCs w:val="24"/>
        </w:rPr>
      </w:pPr>
      <w:r w:rsidRPr="00F80E00">
        <w:rPr>
          <w:sz w:val="24"/>
          <w:szCs w:val="24"/>
        </w:rPr>
        <w:t>Prezado Associado,</w:t>
      </w:r>
    </w:p>
    <w:p w:rsidR="007C43BE" w:rsidRDefault="00C3682B" w:rsidP="003A0F29">
      <w:pPr>
        <w:rPr>
          <w:sz w:val="24"/>
          <w:szCs w:val="24"/>
        </w:rPr>
      </w:pPr>
      <w:r w:rsidRPr="00F80E00">
        <w:rPr>
          <w:sz w:val="24"/>
          <w:szCs w:val="24"/>
        </w:rPr>
        <w:t>Informamos, para conhecimento imediato e adoção das providências cabíveis, a publicação de medida</w:t>
      </w:r>
      <w:r w:rsidR="00EA4CAA">
        <w:rPr>
          <w:sz w:val="24"/>
          <w:szCs w:val="24"/>
        </w:rPr>
        <w:t>s</w:t>
      </w:r>
      <w:r w:rsidRPr="00F80E00">
        <w:rPr>
          <w:sz w:val="24"/>
          <w:szCs w:val="24"/>
        </w:rPr>
        <w:t xml:space="preserve"> de defesa comercial referente</w:t>
      </w:r>
      <w:r w:rsidR="00EA4CAA">
        <w:rPr>
          <w:sz w:val="24"/>
          <w:szCs w:val="24"/>
        </w:rPr>
        <w:t>s</w:t>
      </w:r>
      <w:r w:rsidRPr="00F80E00">
        <w:rPr>
          <w:sz w:val="24"/>
          <w:szCs w:val="24"/>
        </w:rPr>
        <w:t xml:space="preserve"> ao</w:t>
      </w:r>
      <w:r w:rsidR="001561F4">
        <w:rPr>
          <w:sz w:val="24"/>
          <w:szCs w:val="24"/>
        </w:rPr>
        <w:t xml:space="preserve">s </w:t>
      </w:r>
      <w:r w:rsidRPr="00F80E00">
        <w:rPr>
          <w:sz w:val="24"/>
          <w:szCs w:val="24"/>
        </w:rPr>
        <w:t>produto</w:t>
      </w:r>
      <w:r w:rsidR="001561F4">
        <w:rPr>
          <w:sz w:val="24"/>
          <w:szCs w:val="24"/>
        </w:rPr>
        <w:t>s</w:t>
      </w:r>
      <w:r w:rsidRPr="00F80E00">
        <w:rPr>
          <w:sz w:val="24"/>
          <w:szCs w:val="24"/>
        </w:rPr>
        <w:t xml:space="preserve"> abaixo</w:t>
      </w:r>
      <w:r w:rsidR="00D77DAF">
        <w:rPr>
          <w:sz w:val="24"/>
          <w:szCs w:val="24"/>
        </w:rPr>
        <w:t>.</w:t>
      </w:r>
    </w:p>
    <w:p w:rsidR="00146FB0" w:rsidRDefault="00146FB0" w:rsidP="003A0F29">
      <w:pPr>
        <w:rPr>
          <w:sz w:val="24"/>
          <w:szCs w:val="24"/>
        </w:rPr>
      </w:pPr>
      <w:r>
        <w:rPr>
          <w:sz w:val="24"/>
          <w:szCs w:val="24"/>
        </w:rPr>
        <w:t>Trata-se de informação de caráter exclusivo para associados com divulgação restrita.</w:t>
      </w:r>
    </w:p>
    <w:p w:rsidR="00C16C50" w:rsidRDefault="00C16C50" w:rsidP="003A0F29">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3A0F29">
      <w:pPr>
        <w:rPr>
          <w:sz w:val="24"/>
          <w:szCs w:val="24"/>
        </w:rPr>
      </w:pPr>
      <w:r>
        <w:rPr>
          <w:sz w:val="24"/>
          <w:szCs w:val="24"/>
        </w:rPr>
        <w:t>Atenciosamente,</w:t>
      </w:r>
    </w:p>
    <w:p w:rsidR="003A1CC8" w:rsidRDefault="00C16C50" w:rsidP="003A0F29">
      <w:pPr>
        <w:rPr>
          <w:sz w:val="24"/>
          <w:szCs w:val="24"/>
        </w:rPr>
      </w:pPr>
      <w:r>
        <w:rPr>
          <w:sz w:val="24"/>
          <w:szCs w:val="24"/>
        </w:rPr>
        <w:t>Secretaria Executiva da ABECE</w:t>
      </w:r>
    </w:p>
    <w:p w:rsidR="001561F4" w:rsidRDefault="001561F4" w:rsidP="003A0F29">
      <w:pPr>
        <w:rPr>
          <w:sz w:val="24"/>
          <w:szCs w:val="24"/>
        </w:rPr>
      </w:pPr>
    </w:p>
    <w:p w:rsidR="001561F4" w:rsidRPr="00DC4AD3" w:rsidRDefault="001561F4" w:rsidP="003A0F29">
      <w:pPr>
        <w:shd w:val="clear" w:color="auto" w:fill="FFFFFF"/>
        <w:spacing w:after="0" w:line="240" w:lineRule="auto"/>
        <w:rPr>
          <w:rFonts w:eastAsia="Times New Roman" w:cs="Arial"/>
          <w:color w:val="222222"/>
          <w:sz w:val="24"/>
          <w:szCs w:val="24"/>
          <w:lang w:eastAsia="pt-BR"/>
        </w:rPr>
      </w:pPr>
      <w:r w:rsidRPr="005C3A69">
        <w:rPr>
          <w:rFonts w:eastAsia="Times New Roman" w:cs="Arial"/>
          <w:b/>
          <w:bCs/>
          <w:color w:val="222222"/>
          <w:sz w:val="24"/>
          <w:szCs w:val="24"/>
          <w:lang w:eastAsia="pt-BR"/>
        </w:rPr>
        <w:t>BORRACHA DE ESTIRENO-BUTADIENO (E-SBR)</w:t>
      </w:r>
      <w:r w:rsidR="00DC4AD3" w:rsidRPr="005C3A69">
        <w:rPr>
          <w:rFonts w:eastAsia="Times New Roman" w:cs="Arial"/>
          <w:b/>
          <w:bCs/>
          <w:color w:val="222222"/>
          <w:sz w:val="24"/>
          <w:szCs w:val="24"/>
          <w:lang w:eastAsia="pt-BR"/>
        </w:rPr>
        <w:t xml:space="preserve"> (</w:t>
      </w:r>
      <w:r w:rsidRPr="005C3A69">
        <w:rPr>
          <w:b/>
          <w:sz w:val="24"/>
          <w:szCs w:val="24"/>
        </w:rPr>
        <w:t xml:space="preserve">NCM </w:t>
      </w:r>
      <w:r w:rsidRPr="005C3A69">
        <w:rPr>
          <w:rFonts w:cs="Arial"/>
          <w:b/>
          <w:color w:val="000000"/>
          <w:sz w:val="24"/>
          <w:szCs w:val="24"/>
          <w:shd w:val="clear" w:color="auto" w:fill="FFFFFF"/>
        </w:rPr>
        <w:t>4002.19.11 e 4002.19.19</w:t>
      </w:r>
      <w:r w:rsidR="00DC4AD3" w:rsidRPr="005C3A69">
        <w:rPr>
          <w:rFonts w:cs="Arial"/>
          <w:b/>
          <w:color w:val="000000"/>
          <w:sz w:val="24"/>
          <w:szCs w:val="24"/>
          <w:shd w:val="clear" w:color="auto" w:fill="FFFFFF"/>
        </w:rPr>
        <w:t>)</w:t>
      </w:r>
    </w:p>
    <w:p w:rsidR="001561F4" w:rsidRPr="00DC4AD3" w:rsidRDefault="001561F4" w:rsidP="003A0F29">
      <w:pPr>
        <w:rPr>
          <w:sz w:val="24"/>
          <w:szCs w:val="24"/>
        </w:rPr>
      </w:pPr>
    </w:p>
    <w:p w:rsidR="001561F4" w:rsidRPr="000E75AB" w:rsidRDefault="00EB0AF7" w:rsidP="003A0F29">
      <w:pPr>
        <w:shd w:val="clear" w:color="auto" w:fill="FFFFFF"/>
        <w:spacing w:after="0" w:line="240" w:lineRule="auto"/>
        <w:rPr>
          <w:sz w:val="22"/>
          <w:szCs w:val="22"/>
        </w:rPr>
      </w:pPr>
      <w:r>
        <w:rPr>
          <w:rFonts w:eastAsia="Times New Roman" w:cs="Arial"/>
          <w:b/>
          <w:bCs/>
          <w:color w:val="222222"/>
          <w:sz w:val="24"/>
          <w:szCs w:val="24"/>
          <w:lang w:eastAsia="pt-BR"/>
        </w:rPr>
        <w:t>TUBOS COM COSTURA DE AÇO INOXIDAVEL</w:t>
      </w:r>
      <w:r w:rsidRPr="005C3A69">
        <w:rPr>
          <w:rFonts w:eastAsia="Times New Roman" w:cs="Arial"/>
          <w:b/>
          <w:bCs/>
          <w:color w:val="222222"/>
          <w:sz w:val="24"/>
          <w:szCs w:val="24"/>
          <w:lang w:eastAsia="pt-BR"/>
        </w:rPr>
        <w:t xml:space="preserve"> </w:t>
      </w:r>
      <w:r w:rsidRPr="00EB0AF7">
        <w:rPr>
          <w:rFonts w:eastAsia="Times New Roman" w:cs="Arial"/>
          <w:b/>
          <w:bCs/>
          <w:color w:val="222222"/>
          <w:sz w:val="24"/>
          <w:szCs w:val="24"/>
          <w:lang w:eastAsia="pt-BR"/>
        </w:rPr>
        <w:t>(</w:t>
      </w:r>
      <w:r w:rsidRPr="00EB0AF7">
        <w:rPr>
          <w:b/>
          <w:sz w:val="24"/>
          <w:szCs w:val="24"/>
        </w:rPr>
        <w:t>NCM 7306.40.00 e 7306.90.20</w:t>
      </w:r>
      <w:r w:rsidRPr="00EB0AF7">
        <w:rPr>
          <w:rFonts w:cs="Arial"/>
          <w:b/>
          <w:color w:val="000000"/>
          <w:sz w:val="24"/>
          <w:szCs w:val="24"/>
          <w:shd w:val="clear" w:color="auto" w:fill="FFFFFF"/>
        </w:rPr>
        <w:t>)</w:t>
      </w:r>
    </w:p>
    <w:p w:rsidR="001004FC" w:rsidRDefault="001004FC" w:rsidP="003A0F29">
      <w:pPr>
        <w:rPr>
          <w:rFonts w:eastAsia="Times New Roman" w:cs="Arial"/>
          <w:b/>
          <w:bCs/>
          <w:color w:val="222222"/>
          <w:sz w:val="24"/>
          <w:szCs w:val="24"/>
          <w:lang w:eastAsia="pt-BR"/>
        </w:rPr>
      </w:pPr>
    </w:p>
    <w:p w:rsidR="00B304D5" w:rsidRDefault="003A7CA2" w:rsidP="002003C7">
      <w:pPr>
        <w:rPr>
          <w:sz w:val="24"/>
          <w:szCs w:val="24"/>
        </w:rPr>
      </w:pPr>
      <w:r>
        <w:rPr>
          <w:rFonts w:eastAsia="Times New Roman" w:cs="Arial"/>
          <w:b/>
          <w:bCs/>
          <w:color w:val="222222"/>
          <w:sz w:val="24"/>
          <w:szCs w:val="24"/>
          <w:lang w:eastAsia="pt-BR"/>
        </w:rPr>
        <w:t>CHAPAS DE GESSO OU DE COMPOSIÇÕES (NCM 6809.11.00</w:t>
      </w:r>
      <w:r w:rsidR="00B304D5" w:rsidRPr="003A7CA2">
        <w:rPr>
          <w:rFonts w:eastAsia="Times New Roman" w:cs="Arial"/>
          <w:b/>
          <w:bCs/>
          <w:color w:val="222222"/>
          <w:sz w:val="24"/>
          <w:szCs w:val="24"/>
          <w:lang w:eastAsia="pt-BR"/>
        </w:rPr>
        <w:t>) </w:t>
      </w:r>
    </w:p>
    <w:p w:rsidR="003A7CA2" w:rsidRDefault="003A7CA2" w:rsidP="003A0F29">
      <w:pPr>
        <w:shd w:val="clear" w:color="auto" w:fill="FFFFFF"/>
        <w:spacing w:after="0" w:line="240" w:lineRule="auto"/>
        <w:rPr>
          <w:sz w:val="24"/>
          <w:szCs w:val="24"/>
        </w:rPr>
      </w:pPr>
    </w:p>
    <w:p w:rsidR="003A7CA2" w:rsidRDefault="00BE3CC3" w:rsidP="002003C7">
      <w:pPr>
        <w:rPr>
          <w:sz w:val="24"/>
          <w:szCs w:val="24"/>
        </w:rPr>
      </w:pPr>
      <w:r>
        <w:rPr>
          <w:rFonts w:eastAsia="Times New Roman" w:cs="Arial"/>
          <w:b/>
          <w:bCs/>
          <w:color w:val="222222"/>
          <w:sz w:val="24"/>
          <w:szCs w:val="24"/>
          <w:lang w:eastAsia="pt-BR"/>
        </w:rPr>
        <w:t>ÁCIDO CÍTRICO E DETERMINADOS SAIS (NCM 2918.14.00 E 2918.15.00</w:t>
      </w:r>
      <w:r w:rsidR="003A7CA2" w:rsidRPr="00BE3CC3">
        <w:rPr>
          <w:rFonts w:eastAsia="Times New Roman" w:cs="Arial"/>
          <w:b/>
          <w:bCs/>
          <w:color w:val="222222"/>
          <w:sz w:val="24"/>
          <w:szCs w:val="24"/>
          <w:lang w:eastAsia="pt-BR"/>
        </w:rPr>
        <w:t>)</w:t>
      </w:r>
      <w:bookmarkStart w:id="0" w:name="_GoBack"/>
      <w:bookmarkEnd w:id="0"/>
      <w:r w:rsidR="002003C7">
        <w:rPr>
          <w:sz w:val="24"/>
          <w:szCs w:val="24"/>
        </w:rPr>
        <w:t xml:space="preserve"> </w:t>
      </w: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A344D2" w:rsidRDefault="00A344D2" w:rsidP="00EA6C33">
      <w:pPr>
        <w:shd w:val="clear" w:color="auto" w:fill="FFFFFF"/>
        <w:spacing w:after="0" w:line="240" w:lineRule="auto"/>
        <w:jc w:val="center"/>
        <w:rPr>
          <w:b/>
          <w:sz w:val="48"/>
          <w:szCs w:val="48"/>
        </w:rPr>
      </w:pPr>
    </w:p>
    <w:p w:rsidR="00CB2CB8" w:rsidRDefault="00CB2CB8" w:rsidP="00EA6C33">
      <w:pPr>
        <w:shd w:val="clear" w:color="auto" w:fill="FFFFFF"/>
        <w:spacing w:after="0" w:line="240" w:lineRule="auto"/>
        <w:jc w:val="center"/>
        <w:rPr>
          <w:b/>
          <w:sz w:val="48"/>
          <w:szCs w:val="48"/>
        </w:rPr>
      </w:pPr>
    </w:p>
    <w:p w:rsidR="00FE2666" w:rsidRPr="00FE2666" w:rsidRDefault="005C03D4" w:rsidP="00FE2666">
      <w:pPr>
        <w:shd w:val="clear" w:color="auto" w:fill="FFFFFF"/>
        <w:spacing w:after="0" w:line="240" w:lineRule="auto"/>
        <w:jc w:val="center"/>
        <w:rPr>
          <w:b/>
          <w:sz w:val="22"/>
          <w:szCs w:val="22"/>
        </w:rPr>
      </w:pPr>
      <w:r w:rsidRPr="00FE2666">
        <w:rPr>
          <w:b/>
          <w:sz w:val="22"/>
          <w:szCs w:val="22"/>
        </w:rPr>
        <w:t>RESOLUÇÃO</w:t>
      </w:r>
      <w:r w:rsidR="00FE2666" w:rsidRPr="00FE2666">
        <w:rPr>
          <w:b/>
          <w:sz w:val="22"/>
          <w:szCs w:val="22"/>
        </w:rPr>
        <w:t xml:space="preserve"> CAMEX</w:t>
      </w:r>
      <w:r w:rsidRPr="00FE2666">
        <w:rPr>
          <w:b/>
          <w:sz w:val="22"/>
          <w:szCs w:val="22"/>
        </w:rPr>
        <w:t xml:space="preserve"> N</w:t>
      </w:r>
      <w:r w:rsidR="00FE2666" w:rsidRPr="00FE2666">
        <w:rPr>
          <w:b/>
          <w:sz w:val="22"/>
          <w:szCs w:val="22"/>
        </w:rPr>
        <w:t>º</w:t>
      </w:r>
      <w:r w:rsidRPr="00FE2666">
        <w:rPr>
          <w:b/>
          <w:sz w:val="22"/>
          <w:szCs w:val="22"/>
        </w:rPr>
        <w:t xml:space="preserve"> 83, DE 17 DE OUTUBRO DE 2017 </w:t>
      </w:r>
      <w:r w:rsidR="005F2CC6" w:rsidRPr="00FE2666">
        <w:rPr>
          <w:b/>
          <w:sz w:val="22"/>
          <w:szCs w:val="22"/>
        </w:rPr>
        <w:t>(DOU 18/10/2017)</w:t>
      </w:r>
    </w:p>
    <w:p w:rsidR="00FE2666" w:rsidRDefault="00FE2666" w:rsidP="000E75AB">
      <w:pPr>
        <w:shd w:val="clear" w:color="auto" w:fill="FFFFFF"/>
        <w:spacing w:after="0" w:line="240" w:lineRule="auto"/>
        <w:rPr>
          <w:sz w:val="22"/>
          <w:szCs w:val="22"/>
        </w:rPr>
      </w:pPr>
    </w:p>
    <w:p w:rsidR="00FE2666" w:rsidRDefault="005C03D4" w:rsidP="000E75AB">
      <w:pPr>
        <w:shd w:val="clear" w:color="auto" w:fill="FFFFFF"/>
        <w:spacing w:after="0" w:line="240" w:lineRule="auto"/>
        <w:rPr>
          <w:sz w:val="22"/>
          <w:szCs w:val="22"/>
        </w:rPr>
      </w:pPr>
      <w:r w:rsidRPr="000E75AB">
        <w:rPr>
          <w:sz w:val="22"/>
          <w:szCs w:val="22"/>
        </w:rPr>
        <w:t xml:space="preserve">Torna pública a extinção do direito antidumping definitivo aplicado às importações brasileiras de borrachas E-SBR, originárias da União Europeia. O COMITÊ EXECUTIVO DE GESTÃO - GECEX - DA CÂMARA DE COMÉRCIO EXTERIOR - CAMEX, tendo em vista a deliberação em sua 151ª reunião, realizada em 11 de outubro de 2017, no uso da atribuição que lhe confere o art. 5°, § 4°, inciso II, do Decreto no 4.732, de 10 de junho de 2003, com fundamento no art. 6° da Lei n° 9.019, de 30 de março de 1995, no art. 2°, inciso XV, do Decreto n° 4.732, de 10 de junho de 2003 e no art. 3°, § 2º, do Decreto nº 8.058, de 26 de julho de 2013, Considerando o que consta da Nota Técnica nº 35/2017/SAIN/MF-DF e as conclusões do Grupo Técnico de Avaliação de </w:t>
      </w:r>
      <w:r w:rsidRPr="000E75AB">
        <w:rPr>
          <w:sz w:val="22"/>
          <w:szCs w:val="22"/>
        </w:rPr>
        <w:lastRenderedPageBreak/>
        <w:t xml:space="preserve">Interesse Público - GTIP, em reunião realizada em 04 de outubro de 2017, resolve, ad referendum do Conselho de Ministros: </w:t>
      </w:r>
    </w:p>
    <w:p w:rsidR="00FE2666" w:rsidRDefault="005C03D4" w:rsidP="000E75AB">
      <w:pPr>
        <w:shd w:val="clear" w:color="auto" w:fill="FFFFFF"/>
        <w:spacing w:after="0" w:line="240" w:lineRule="auto"/>
        <w:rPr>
          <w:sz w:val="22"/>
          <w:szCs w:val="22"/>
        </w:rPr>
      </w:pPr>
      <w:r w:rsidRPr="000E75AB">
        <w:rPr>
          <w:sz w:val="22"/>
          <w:szCs w:val="22"/>
        </w:rPr>
        <w:t>Art. 1º Tornar pública a extinção do direito antidumping aplicado e suspenso pela Resolução CAMEX nº 110/2015, com suspensão prorrogada por um ano pela Resolução CAMEX nº 96/2016, às importações brasileiras de borracha de estireno-</w:t>
      </w:r>
      <w:proofErr w:type="spellStart"/>
      <w:r w:rsidRPr="000E75AB">
        <w:rPr>
          <w:sz w:val="22"/>
          <w:szCs w:val="22"/>
        </w:rPr>
        <w:t>butadieno</w:t>
      </w:r>
      <w:proofErr w:type="spellEnd"/>
      <w:r w:rsidRPr="000E75AB">
        <w:rPr>
          <w:sz w:val="22"/>
          <w:szCs w:val="22"/>
        </w:rPr>
        <w:t xml:space="preserve"> polimerizada em emulsão a frio (E-SBR), originárias da União Europeia. </w:t>
      </w:r>
    </w:p>
    <w:p w:rsidR="005C03D4" w:rsidRPr="000E75AB" w:rsidRDefault="005C03D4" w:rsidP="000E75AB">
      <w:pPr>
        <w:shd w:val="clear" w:color="auto" w:fill="FFFFFF"/>
        <w:spacing w:after="0" w:line="240" w:lineRule="auto"/>
        <w:rPr>
          <w:sz w:val="22"/>
          <w:szCs w:val="22"/>
        </w:rPr>
      </w:pPr>
      <w:r w:rsidRPr="000E75AB">
        <w:rPr>
          <w:sz w:val="22"/>
          <w:szCs w:val="22"/>
        </w:rPr>
        <w:t>Art. 2º Esta Resolução entra em vigor na data de sua publicação. MARCOS PEREIRA Presidente do Comitê Executivo de Gestão</w:t>
      </w:r>
    </w:p>
    <w:p w:rsidR="001C0D9D" w:rsidRPr="000E75AB" w:rsidRDefault="001C0D9D" w:rsidP="000E75AB">
      <w:pPr>
        <w:shd w:val="clear" w:color="auto" w:fill="FFFFFF"/>
        <w:spacing w:after="0" w:line="240" w:lineRule="auto"/>
        <w:rPr>
          <w:sz w:val="22"/>
          <w:szCs w:val="22"/>
        </w:rPr>
      </w:pPr>
    </w:p>
    <w:p w:rsidR="00FE2666" w:rsidRPr="00FE2666" w:rsidRDefault="001C0D9D" w:rsidP="00FE2666">
      <w:pPr>
        <w:shd w:val="clear" w:color="auto" w:fill="FFFFFF"/>
        <w:spacing w:after="0" w:line="240" w:lineRule="auto"/>
        <w:jc w:val="center"/>
        <w:rPr>
          <w:b/>
          <w:sz w:val="22"/>
          <w:szCs w:val="22"/>
        </w:rPr>
      </w:pPr>
      <w:r w:rsidRPr="00FE2666">
        <w:rPr>
          <w:b/>
          <w:sz w:val="22"/>
          <w:szCs w:val="22"/>
        </w:rPr>
        <w:t xml:space="preserve">CIRCULAR </w:t>
      </w:r>
      <w:r w:rsidR="00FE2666" w:rsidRPr="00FE2666">
        <w:rPr>
          <w:b/>
          <w:sz w:val="22"/>
          <w:szCs w:val="22"/>
        </w:rPr>
        <w:t xml:space="preserve">SECEX </w:t>
      </w:r>
      <w:r w:rsidRPr="00FE2666">
        <w:rPr>
          <w:b/>
          <w:sz w:val="22"/>
          <w:szCs w:val="22"/>
        </w:rPr>
        <w:t>N</w:t>
      </w:r>
      <w:r w:rsidR="00FE2666" w:rsidRPr="00FE2666">
        <w:rPr>
          <w:b/>
          <w:sz w:val="22"/>
          <w:szCs w:val="22"/>
        </w:rPr>
        <w:t>º</w:t>
      </w:r>
      <w:r w:rsidRPr="00FE2666">
        <w:rPr>
          <w:b/>
          <w:sz w:val="22"/>
          <w:szCs w:val="22"/>
        </w:rPr>
        <w:t xml:space="preserve"> 54, DE 17 DE OUTUBRO DE 2017 (DOU 18/10/2017)</w:t>
      </w:r>
    </w:p>
    <w:p w:rsidR="00FE2666" w:rsidRDefault="00FE2666" w:rsidP="000E75AB">
      <w:pPr>
        <w:shd w:val="clear" w:color="auto" w:fill="FFFFFF"/>
        <w:spacing w:after="0" w:line="240" w:lineRule="auto"/>
        <w:rPr>
          <w:sz w:val="22"/>
          <w:szCs w:val="22"/>
        </w:rPr>
      </w:pPr>
    </w:p>
    <w:p w:rsidR="00FE2666" w:rsidRDefault="001C0D9D" w:rsidP="000E75AB">
      <w:pPr>
        <w:shd w:val="clear" w:color="auto" w:fill="FFFFFF"/>
        <w:spacing w:after="0" w:line="240" w:lineRule="auto"/>
        <w:rPr>
          <w:sz w:val="22"/>
          <w:szCs w:val="22"/>
        </w:rPr>
      </w:pPr>
      <w:r w:rsidRPr="000E75AB">
        <w:rPr>
          <w:sz w:val="22"/>
          <w:szCs w:val="22"/>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 5o do art. 65 do Decreto no 8.058, de 26 de julho de 2013, e tendo em vista o que consta do Processo MDIC/SECEX no 52272.000119/2017-32 e do Parecer no 35, de 13 de outubro de 2017, elaborado pelo Departamento de Defesa Comercial – DECOM desta Secretaria, e por não haver indícios suficientes de nexo de causalidade entre a prática de dumping nas exportações da Malásia, da Tailândia e do Vietnã para o Brasil do produto objeto desta circular, e o dano suportado pela indústria doméstica, decide: </w:t>
      </w:r>
    </w:p>
    <w:p w:rsidR="00FE2666" w:rsidRDefault="00FE2666" w:rsidP="000E75AB">
      <w:pPr>
        <w:shd w:val="clear" w:color="auto" w:fill="FFFFFF"/>
        <w:spacing w:after="0" w:line="240" w:lineRule="auto"/>
        <w:rPr>
          <w:sz w:val="22"/>
          <w:szCs w:val="22"/>
        </w:rPr>
      </w:pPr>
    </w:p>
    <w:p w:rsidR="00FE2666" w:rsidRDefault="001C0D9D" w:rsidP="000E75AB">
      <w:pPr>
        <w:shd w:val="clear" w:color="auto" w:fill="FFFFFF"/>
        <w:spacing w:after="0" w:line="240" w:lineRule="auto"/>
        <w:rPr>
          <w:sz w:val="22"/>
          <w:szCs w:val="22"/>
        </w:rPr>
      </w:pPr>
      <w:r w:rsidRPr="000E75AB">
        <w:rPr>
          <w:sz w:val="22"/>
          <w:szCs w:val="22"/>
        </w:rPr>
        <w:t xml:space="preserve">1. Tornar públicos os fatos que justificaram a decisão de não aplicação de direito provisório na investigação para averiguar a existência de dumping nas exportações da Malásia, da Tailândia e do Vietnã para o Brasil de tubos com costura, de aço inoxidável </w:t>
      </w:r>
      <w:proofErr w:type="spellStart"/>
      <w:r w:rsidRPr="000E75AB">
        <w:rPr>
          <w:sz w:val="22"/>
          <w:szCs w:val="22"/>
        </w:rPr>
        <w:t>austenítico</w:t>
      </w:r>
      <w:proofErr w:type="spellEnd"/>
      <w:r w:rsidRPr="000E75AB">
        <w:rPr>
          <w:sz w:val="22"/>
          <w:szCs w:val="22"/>
        </w:rPr>
        <w:t xml:space="preserve"> graus 304 e 316, de seção circular, com diâmetro externo igual ou superior a 6 mm (1/4 polegadas) e não superior a 2.032 mm (80 polegadas), com espessura igual ou superior a 0,40 mm e igual ou inferior a 12,70 mm, comumente classificados nos itens 7306.40.00 e 7306.90.20 da Nomenclatura Comum do Mercosul – NCM, e de dano à indústria doméstica decorrente de tal prática, conforme o anexo à presente circular. </w:t>
      </w:r>
    </w:p>
    <w:p w:rsidR="001C0D9D" w:rsidRPr="000E75AB" w:rsidRDefault="001C0D9D" w:rsidP="000E75AB">
      <w:pPr>
        <w:shd w:val="clear" w:color="auto" w:fill="FFFFFF"/>
        <w:spacing w:after="0" w:line="240" w:lineRule="auto"/>
        <w:rPr>
          <w:sz w:val="22"/>
          <w:szCs w:val="22"/>
        </w:rPr>
      </w:pPr>
      <w:r w:rsidRPr="000E75AB">
        <w:rPr>
          <w:sz w:val="22"/>
          <w:szCs w:val="22"/>
        </w:rPr>
        <w:t>2. Informar a decisão final do DECOM de usar a Tailândia como terceiro país de economia de mercado. ABRÃO MIGUEL ÁRABE NETO</w:t>
      </w:r>
    </w:p>
    <w:p w:rsidR="002430A7" w:rsidRDefault="002430A7" w:rsidP="00FE2666">
      <w:pPr>
        <w:shd w:val="clear" w:color="auto" w:fill="FFFFFF"/>
        <w:spacing w:after="0" w:line="240" w:lineRule="auto"/>
        <w:jc w:val="center"/>
        <w:rPr>
          <w:b/>
          <w:sz w:val="22"/>
          <w:szCs w:val="22"/>
        </w:rPr>
      </w:pPr>
    </w:p>
    <w:p w:rsidR="002430A7" w:rsidRDefault="002430A7" w:rsidP="00FE2666">
      <w:pPr>
        <w:shd w:val="clear" w:color="auto" w:fill="FFFFFF"/>
        <w:spacing w:after="0" w:line="240" w:lineRule="auto"/>
        <w:jc w:val="center"/>
        <w:rPr>
          <w:b/>
          <w:sz w:val="22"/>
          <w:szCs w:val="22"/>
        </w:rPr>
      </w:pPr>
    </w:p>
    <w:p w:rsidR="00FE2666" w:rsidRPr="00FE2666" w:rsidRDefault="00FE2666" w:rsidP="00FE2666">
      <w:pPr>
        <w:shd w:val="clear" w:color="auto" w:fill="FFFFFF"/>
        <w:spacing w:after="0" w:line="240" w:lineRule="auto"/>
        <w:jc w:val="center"/>
        <w:rPr>
          <w:b/>
          <w:sz w:val="22"/>
          <w:szCs w:val="22"/>
        </w:rPr>
      </w:pPr>
      <w:r w:rsidRPr="00FE2666">
        <w:rPr>
          <w:b/>
          <w:sz w:val="22"/>
          <w:szCs w:val="22"/>
        </w:rPr>
        <w:t>CIRCULAR SECEX Nº 5</w:t>
      </w:r>
      <w:r>
        <w:rPr>
          <w:b/>
          <w:sz w:val="22"/>
          <w:szCs w:val="22"/>
        </w:rPr>
        <w:t>3, DE 13</w:t>
      </w:r>
      <w:r w:rsidRPr="00FE2666">
        <w:rPr>
          <w:b/>
          <w:sz w:val="22"/>
          <w:szCs w:val="22"/>
        </w:rPr>
        <w:t xml:space="preserve"> DE OUTUBRO DE 2017 </w:t>
      </w:r>
      <w:r>
        <w:rPr>
          <w:b/>
          <w:sz w:val="22"/>
          <w:szCs w:val="22"/>
        </w:rPr>
        <w:t>(DOU 17</w:t>
      </w:r>
      <w:r w:rsidRPr="00FE2666">
        <w:rPr>
          <w:b/>
          <w:sz w:val="22"/>
          <w:szCs w:val="22"/>
        </w:rPr>
        <w:t>/10/2017)</w:t>
      </w:r>
    </w:p>
    <w:p w:rsidR="00F07D3E" w:rsidRPr="000E75AB" w:rsidRDefault="00F07D3E" w:rsidP="000E75AB">
      <w:pPr>
        <w:shd w:val="clear" w:color="auto" w:fill="FFFFFF"/>
        <w:spacing w:after="0" w:line="240" w:lineRule="auto"/>
        <w:rPr>
          <w:sz w:val="22"/>
          <w:szCs w:val="22"/>
        </w:rPr>
      </w:pPr>
    </w:p>
    <w:p w:rsidR="00F07D3E" w:rsidRPr="000E75AB" w:rsidRDefault="00F07D3E" w:rsidP="000E75AB">
      <w:pPr>
        <w:shd w:val="clear" w:color="auto" w:fill="FFFFFF"/>
        <w:spacing w:after="0" w:line="240" w:lineRule="auto"/>
        <w:rPr>
          <w:sz w:val="22"/>
          <w:szCs w:val="22"/>
        </w:rPr>
      </w:pPr>
    </w:p>
    <w:p w:rsidR="00B83B59" w:rsidRPr="00FE2666" w:rsidRDefault="00B83B59" w:rsidP="00FE2666">
      <w:pPr>
        <w:rPr>
          <w:sz w:val="22"/>
          <w:szCs w:val="22"/>
        </w:rPr>
      </w:pPr>
      <w:r w:rsidRPr="00FE2666">
        <w:rPr>
          <w:sz w:val="22"/>
          <w:szCs w:val="22"/>
        </w:rPr>
        <w:t>Inicia investigação para averiguar a existência de dumping nas exportações do México para o Brasil de chapas de gesso ou de composições à base de gesso revestidas e/ou reforçadas com papel ou cartão, classificados no item 6809.11.00 da Nomenclatura Comum do MERCOSUL - NCM, e de dano à indústria doméstica decorrente de tal prática.</w:t>
      </w:r>
    </w:p>
    <w:p w:rsidR="00B83B59" w:rsidRPr="00FE2666" w:rsidRDefault="00B83B59" w:rsidP="00FE2666">
      <w:pPr>
        <w:rPr>
          <w:sz w:val="22"/>
          <w:szCs w:val="22"/>
        </w:rPr>
      </w:pPr>
      <w:r w:rsidRPr="00FE2666">
        <w:rPr>
          <w:sz w:val="22"/>
          <w:szCs w:val="22"/>
        </w:rPr>
        <w:t xml:space="preserve">O Secretário de Comércio Exterior do Ministério da Indústria, Comércio Exterior e Serviços, nos termos do Acordo sobre a Suplementação do Artigo VI do Acordo Geral sobre Tarifas e Comércio - GATT 1994, aprovado pelo Decreto Legislativo nº 30, de 15 de dezembro de 1994 , e promulgado pelo Decreto nº 1.355, de 30 de dezembro de 1994 , de acordo com o disposto no art. 5º do Decreto nº 8.058, de 26 de julho de 2013 , e tendo em vista o que consta do Processo MDIC/SECEX 52272.000987/2017-12 e do Parecer nº 34, de 11 de outubro de 2017, elaborado pelo Departamento de Defesa Comercial - DECOM desta Secretaria, e por terem sido apresentados elementos suficientes que indicam a prática de dumping nas exportações do </w:t>
      </w:r>
      <w:r w:rsidRPr="00FE2666">
        <w:rPr>
          <w:sz w:val="22"/>
          <w:szCs w:val="22"/>
        </w:rPr>
        <w:lastRenderedPageBreak/>
        <w:t>México para o Brasil do produto objeto desta circular, e de dano à indústria doméstica resultante de tal prática,</w:t>
      </w:r>
    </w:p>
    <w:p w:rsidR="00B83B59" w:rsidRPr="00FE2666" w:rsidRDefault="00B83B59" w:rsidP="00FE2666">
      <w:pPr>
        <w:rPr>
          <w:sz w:val="22"/>
          <w:szCs w:val="22"/>
        </w:rPr>
      </w:pPr>
      <w:r w:rsidRPr="00FE2666">
        <w:rPr>
          <w:sz w:val="22"/>
          <w:szCs w:val="22"/>
        </w:rPr>
        <w:t>Decide:</w:t>
      </w:r>
    </w:p>
    <w:p w:rsidR="00B83B59" w:rsidRPr="00FE2666" w:rsidRDefault="00B83B59" w:rsidP="00FE2666">
      <w:pPr>
        <w:rPr>
          <w:sz w:val="22"/>
          <w:szCs w:val="22"/>
        </w:rPr>
      </w:pPr>
      <w:r w:rsidRPr="00FE2666">
        <w:rPr>
          <w:sz w:val="22"/>
          <w:szCs w:val="22"/>
        </w:rPr>
        <w:t>1. Iniciar investigação para averiguar a existência de dumping nas exportações do México para o Brasil de chapas de gesso ou de composições à base de gesso revestidas e/ou reforçadas com papel ou cartão, classificadas no item 6809.11.00 da Nomenclatura Comum do MERCOSUL - NCM, e de dano à indústria doméstica decorrente de tal prática.</w:t>
      </w:r>
    </w:p>
    <w:p w:rsidR="00B83B59" w:rsidRPr="00FE2666" w:rsidRDefault="00B83B59" w:rsidP="00FE2666">
      <w:pPr>
        <w:rPr>
          <w:sz w:val="22"/>
          <w:szCs w:val="22"/>
        </w:rPr>
      </w:pPr>
      <w:r w:rsidRPr="00FE2666">
        <w:rPr>
          <w:sz w:val="22"/>
          <w:szCs w:val="22"/>
        </w:rPr>
        <w:t>1.1. Tornar públicos os fatos que justificaram a decisão de abertura da investigação, conforme o anexo à presente circular.</w:t>
      </w:r>
    </w:p>
    <w:p w:rsidR="00B83B59" w:rsidRPr="00FE2666" w:rsidRDefault="00B83B59" w:rsidP="00FE2666">
      <w:pPr>
        <w:rPr>
          <w:sz w:val="22"/>
          <w:szCs w:val="22"/>
        </w:rPr>
      </w:pPr>
      <w:r w:rsidRPr="00FE2666">
        <w:rPr>
          <w:sz w:val="22"/>
          <w:szCs w:val="22"/>
        </w:rPr>
        <w:t>1.2. A data do início da investigação será a da publicação desta circular no Diário Oficial da União - DOU.</w:t>
      </w:r>
    </w:p>
    <w:p w:rsidR="00B83B59" w:rsidRPr="00FE2666" w:rsidRDefault="00B83B59" w:rsidP="00FE2666">
      <w:pPr>
        <w:rPr>
          <w:sz w:val="22"/>
          <w:szCs w:val="22"/>
        </w:rPr>
      </w:pPr>
      <w:r w:rsidRPr="00FE2666">
        <w:rPr>
          <w:sz w:val="22"/>
          <w:szCs w:val="22"/>
        </w:rPr>
        <w:t>2. A análise dos elementos de prova de dumping considerou o período de abril de 2016 a março de 2017. Já o período de análise de dano considerou o período de abril de 2012 a março de 2017.</w:t>
      </w:r>
    </w:p>
    <w:p w:rsidR="00B83B59" w:rsidRPr="00FE2666" w:rsidRDefault="00B83B59" w:rsidP="00FE2666">
      <w:pPr>
        <w:rPr>
          <w:sz w:val="22"/>
          <w:szCs w:val="22"/>
        </w:rPr>
      </w:pPr>
      <w:r w:rsidRPr="00FE2666">
        <w:rPr>
          <w:sz w:val="22"/>
          <w:szCs w:val="22"/>
        </w:rPr>
        <w:t xml:space="preserve">3. A participação das partes interessadas no curso desta investigação de defesa comercial deverá realizar-se necessariamente por meio do Sistema DECOM Digital (SDD), de acordo com a Portaria SECEX nº 58, de 29 de julho de </w:t>
      </w:r>
      <w:proofErr w:type="gramStart"/>
      <w:r w:rsidRPr="00FE2666">
        <w:rPr>
          <w:sz w:val="22"/>
          <w:szCs w:val="22"/>
        </w:rPr>
        <w:t>2015 .</w:t>
      </w:r>
      <w:proofErr w:type="gramEnd"/>
      <w:r w:rsidRPr="00FE2666">
        <w:rPr>
          <w:sz w:val="22"/>
          <w:szCs w:val="22"/>
        </w:rPr>
        <w:t xml:space="preserve"> O endereço do SDD é http://decomdigital.mdic.gov.br.</w:t>
      </w:r>
    </w:p>
    <w:p w:rsidR="00B83B59" w:rsidRPr="00FE2666" w:rsidRDefault="00B83B59" w:rsidP="00FE2666">
      <w:pPr>
        <w:rPr>
          <w:sz w:val="22"/>
          <w:szCs w:val="22"/>
        </w:rPr>
      </w:pPr>
      <w:r w:rsidRPr="00FE2666">
        <w:rPr>
          <w:sz w:val="22"/>
          <w:szCs w:val="22"/>
        </w:rPr>
        <w:t xml:space="preserve">4. De acordo com o disposto no § 3º do art. 45 do Decreto nº 8.058, de </w:t>
      </w:r>
      <w:proofErr w:type="gramStart"/>
      <w:r w:rsidRPr="00FE2666">
        <w:rPr>
          <w:sz w:val="22"/>
          <w:szCs w:val="22"/>
        </w:rPr>
        <w:t>2013 ,</w:t>
      </w:r>
      <w:proofErr w:type="gramEnd"/>
      <w:r w:rsidRPr="00FE2666">
        <w:rPr>
          <w:sz w:val="22"/>
          <w:szCs w:val="22"/>
        </w:rPr>
        <w:t xml:space="preserve"> deverá ser respeitado o prazo de vinte dias, contado n partir da data da publicação desta circular no DOU, para que outras partes que se considerem interessadas e seus respectivos representantes legais solicitem, por meio do SDD, sua habilitação no referido processo.</w:t>
      </w:r>
    </w:p>
    <w:p w:rsidR="00B83B59" w:rsidRPr="00FE2666" w:rsidRDefault="00B83B59" w:rsidP="00FE2666">
      <w:pPr>
        <w:rPr>
          <w:sz w:val="22"/>
          <w:szCs w:val="22"/>
        </w:rPr>
      </w:pPr>
      <w:r w:rsidRPr="00FE2666">
        <w:rPr>
          <w:sz w:val="22"/>
          <w:szCs w:val="22"/>
        </w:rPr>
        <w:t xml:space="preserve">5. A participação das partes interessadas no curso desta investigação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w:t>
      </w:r>
      <w:proofErr w:type="gramStart"/>
      <w:r w:rsidRPr="00FE2666">
        <w:rPr>
          <w:sz w:val="22"/>
          <w:szCs w:val="22"/>
        </w:rPr>
        <w:t>2015 .</w:t>
      </w:r>
      <w:proofErr w:type="gramEnd"/>
      <w:r w:rsidRPr="00FE2666">
        <w:rPr>
          <w:sz w:val="22"/>
          <w:szCs w:val="22"/>
        </w:rPr>
        <w:t xml:space="preserve"> A regularização da habilitação dos representantes que realizarem estes atos deverá ser feita em até 91 dias após o início da investigação, sem possibilidade de prorrogação. A ausência de regularização da representação nos prazos e condições previstos fará com que os atos a que fazem referência </w:t>
      </w:r>
      <w:proofErr w:type="gramStart"/>
      <w:r w:rsidRPr="00FE2666">
        <w:rPr>
          <w:sz w:val="22"/>
          <w:szCs w:val="22"/>
        </w:rPr>
        <w:t>este parágrafo sejam</w:t>
      </w:r>
      <w:proofErr w:type="gramEnd"/>
      <w:r w:rsidRPr="00FE2666">
        <w:rPr>
          <w:sz w:val="22"/>
          <w:szCs w:val="22"/>
        </w:rPr>
        <w:t xml:space="preserve"> havidos por inexistentes.</w:t>
      </w:r>
    </w:p>
    <w:p w:rsidR="00B83B59" w:rsidRPr="00FE2666" w:rsidRDefault="00B83B59" w:rsidP="00FE2666">
      <w:pPr>
        <w:rPr>
          <w:sz w:val="22"/>
          <w:szCs w:val="22"/>
        </w:rPr>
      </w:pPr>
      <w:r w:rsidRPr="00FE2666">
        <w:rPr>
          <w:sz w:val="22"/>
          <w:szCs w:val="22"/>
        </w:rPr>
        <w:t>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w:t>
      </w:r>
    </w:p>
    <w:p w:rsidR="00B83B59" w:rsidRPr="00FE2666" w:rsidRDefault="00B83B59" w:rsidP="00FE2666">
      <w:pPr>
        <w:rPr>
          <w:sz w:val="22"/>
          <w:szCs w:val="22"/>
        </w:rPr>
      </w:pPr>
      <w:r w:rsidRPr="00FE2666">
        <w:rPr>
          <w:sz w:val="22"/>
          <w:szCs w:val="22"/>
        </w:rPr>
        <w:t xml:space="preserve">7. Na forma do que dispõe o art. 50 do Decreto nº 8.058, de </w:t>
      </w:r>
      <w:proofErr w:type="gramStart"/>
      <w:r w:rsidRPr="00FE2666">
        <w:rPr>
          <w:sz w:val="22"/>
          <w:szCs w:val="22"/>
        </w:rPr>
        <w:t>2013 ,</w:t>
      </w:r>
      <w:proofErr w:type="gramEnd"/>
      <w:r w:rsidRPr="00FE2666">
        <w:rPr>
          <w:sz w:val="22"/>
          <w:szCs w:val="22"/>
        </w:rPr>
        <w:t xml:space="preserve"> serão remetidos questionários aos produtores ou exportadores conhecidos, aos importadores conhecidos e aos demais produtores domésticos, conforme definidos no § 2º do art. 45, que disporão de trinta dias para restituí-los, por meio do SDD, contados da data de ciência. Presume-se que as partes interessadas terão ciência de documentos impressos enviados pelo DECOM 5 (cinco) dias após </w:t>
      </w:r>
      <w:r w:rsidRPr="00FE2666">
        <w:rPr>
          <w:sz w:val="22"/>
          <w:szCs w:val="22"/>
        </w:rPr>
        <w:lastRenderedPageBreak/>
        <w:t xml:space="preserve">a data de seu envio ou transmissão, no caso de partes interessadas nacionais, e 10 (dez) dias, caso sejam estrangeiras, conforme o art. 19 da Lei nº 12.995, de 18 de junho de </w:t>
      </w:r>
      <w:proofErr w:type="gramStart"/>
      <w:r w:rsidRPr="00FE2666">
        <w:rPr>
          <w:sz w:val="22"/>
          <w:szCs w:val="22"/>
        </w:rPr>
        <w:t>2014 .</w:t>
      </w:r>
      <w:proofErr w:type="gramEnd"/>
      <w:r w:rsidRPr="00FE2666">
        <w:rPr>
          <w:sz w:val="22"/>
          <w:szCs w:val="22"/>
        </w:rPr>
        <w:t xml:space="preserve"> As respostas aos questionários da investigação apresentadas no prazo original de 30 (trinta) dias serão consideradas para fins de determinação preliminar com vistas à decisão sobre a aplicação de direito provisório, conforme o disposto nos </w:t>
      </w:r>
      <w:proofErr w:type="spellStart"/>
      <w:r w:rsidRPr="00FE2666">
        <w:rPr>
          <w:sz w:val="22"/>
          <w:szCs w:val="22"/>
        </w:rPr>
        <w:t>arts</w:t>
      </w:r>
      <w:proofErr w:type="spellEnd"/>
      <w:r w:rsidRPr="00FE2666">
        <w:rPr>
          <w:sz w:val="22"/>
          <w:szCs w:val="22"/>
        </w:rPr>
        <w:t>. 65 e 66 do citado diploma legal.</w:t>
      </w:r>
    </w:p>
    <w:p w:rsidR="00B83B59" w:rsidRPr="00FE2666" w:rsidRDefault="00B83B59" w:rsidP="00FE2666">
      <w:pPr>
        <w:rPr>
          <w:sz w:val="22"/>
          <w:szCs w:val="22"/>
        </w:rPr>
      </w:pPr>
      <w:r w:rsidRPr="00FE2666">
        <w:rPr>
          <w:sz w:val="22"/>
          <w:szCs w:val="22"/>
        </w:rPr>
        <w:t xml:space="preserve">8. De acordo com o previsto nos </w:t>
      </w:r>
      <w:proofErr w:type="spellStart"/>
      <w:r w:rsidRPr="00FE2666">
        <w:rPr>
          <w:sz w:val="22"/>
          <w:szCs w:val="22"/>
        </w:rPr>
        <w:t>arts</w:t>
      </w:r>
      <w:proofErr w:type="spellEnd"/>
      <w:r w:rsidRPr="00FE2666">
        <w:rPr>
          <w:sz w:val="22"/>
          <w:szCs w:val="22"/>
        </w:rPr>
        <w:t xml:space="preserve">. 49 e 58 do Decreto nº 8.058, de </w:t>
      </w:r>
      <w:proofErr w:type="gramStart"/>
      <w:r w:rsidRPr="00FE2666">
        <w:rPr>
          <w:sz w:val="22"/>
          <w:szCs w:val="22"/>
        </w:rPr>
        <w:t>2013 ,</w:t>
      </w:r>
      <w:proofErr w:type="gramEnd"/>
      <w:r w:rsidRPr="00FE2666">
        <w:rPr>
          <w:sz w:val="22"/>
          <w:szCs w:val="22"/>
        </w:rPr>
        <w:t xml:space="preserve"> as partes interessada terão oportunidade de apresentar, por meio do SDD, os elementos de prova que considerem pertinentes. As audiências previstas no art. 55 do referido decreto deverão ser solicitadas no prazo de cinco meses, contado da data de </w:t>
      </w:r>
      <w:proofErr w:type="spellStart"/>
      <w:r w:rsidRPr="00FE2666">
        <w:rPr>
          <w:sz w:val="22"/>
          <w:szCs w:val="22"/>
        </w:rPr>
        <w:t>inicio</w:t>
      </w:r>
      <w:proofErr w:type="spellEnd"/>
      <w:r w:rsidRPr="00FE2666">
        <w:rPr>
          <w:sz w:val="22"/>
          <w:szCs w:val="22"/>
        </w:rPr>
        <w:t xml:space="preserve"> da investigação,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w:t>
      </w:r>
    </w:p>
    <w:p w:rsidR="00B83B59" w:rsidRPr="00FE2666" w:rsidRDefault="00B83B59" w:rsidP="00FE2666">
      <w:pPr>
        <w:rPr>
          <w:sz w:val="22"/>
          <w:szCs w:val="22"/>
        </w:rPr>
      </w:pPr>
      <w:r w:rsidRPr="00FE2666">
        <w:rPr>
          <w:sz w:val="22"/>
          <w:szCs w:val="22"/>
        </w:rPr>
        <w:t>9. Na forma do que dispõem o § 3º do art. 50 e o parágrafo único do art. 179 do Decreto nº 8.058, de 2013 , caso uma parte interessada negue acesso às informações necessárias, não as forneça tempestivamente ou crie obstáculos à investigação, o DECOM poderá elaborar suas determinações preliminares ou finais com base nos fatos disponíveis, incluídos aqueles disponíveis na petição de início da investigação, o que poderá resultar em determinação menos favorável àquela parte do que seria caso a mesma tivesse cooperado.</w:t>
      </w:r>
    </w:p>
    <w:p w:rsidR="00B83B59" w:rsidRPr="00FE2666" w:rsidRDefault="00B83B59" w:rsidP="00FE2666">
      <w:pPr>
        <w:rPr>
          <w:sz w:val="22"/>
          <w:szCs w:val="22"/>
        </w:rPr>
      </w:pPr>
      <w:r w:rsidRPr="00FE2666">
        <w:rPr>
          <w:sz w:val="22"/>
          <w:szCs w:val="22"/>
        </w:rPr>
        <w:t>10. Caso se verifique que uma parte interessada prestou informações falsas ou errôneas, tais informações não serão consideradas e poderão ser utilizados os fatos disponíveis.</w:t>
      </w:r>
    </w:p>
    <w:p w:rsidR="00B83B59" w:rsidRPr="00FE2666" w:rsidRDefault="00B83B59" w:rsidP="00FE2666">
      <w:pPr>
        <w:rPr>
          <w:sz w:val="22"/>
          <w:szCs w:val="22"/>
        </w:rPr>
      </w:pPr>
      <w:r w:rsidRPr="00FE2666">
        <w:rPr>
          <w:sz w:val="22"/>
          <w:szCs w:val="22"/>
        </w:rPr>
        <w:t>11. Esclarecimentos adicionais podem ser obtidos pelo telefone +55 61 2027-7765/9359 ou pelo endereço eletrônico chapasdegesso@mdic.gov.br.</w:t>
      </w:r>
    </w:p>
    <w:p w:rsidR="00B83B59" w:rsidRPr="00FE2666" w:rsidRDefault="00B83B59" w:rsidP="00FE2666">
      <w:pPr>
        <w:rPr>
          <w:sz w:val="22"/>
          <w:szCs w:val="22"/>
        </w:rPr>
      </w:pPr>
      <w:r w:rsidRPr="00FE2666">
        <w:rPr>
          <w:sz w:val="22"/>
          <w:szCs w:val="22"/>
        </w:rPr>
        <w:t>ABRÃO MIGUEL ÁRABE NETO</w:t>
      </w:r>
    </w:p>
    <w:p w:rsidR="007E3100" w:rsidRDefault="007E3100" w:rsidP="000E75AB">
      <w:pPr>
        <w:pStyle w:val="NormalWeb"/>
        <w:shd w:val="clear" w:color="auto" w:fill="FFFFFF"/>
        <w:spacing w:before="0" w:beforeAutospacing="0" w:after="0" w:afterAutospacing="0" w:line="375" w:lineRule="atLeast"/>
        <w:jc w:val="both"/>
        <w:rPr>
          <w:rStyle w:val="Forte"/>
          <w:rFonts w:asciiTheme="minorHAnsi" w:hAnsiTheme="minorHAnsi" w:cs="Helvetica"/>
          <w:color w:val="333333"/>
          <w:sz w:val="22"/>
          <w:szCs w:val="22"/>
        </w:rPr>
      </w:pPr>
    </w:p>
    <w:p w:rsidR="00FE2666" w:rsidRDefault="00FE2666" w:rsidP="000E75AB">
      <w:pPr>
        <w:pStyle w:val="NormalWeb"/>
        <w:shd w:val="clear" w:color="auto" w:fill="FFFFFF"/>
        <w:spacing w:before="0" w:beforeAutospacing="0" w:after="0" w:afterAutospacing="0" w:line="375" w:lineRule="atLeast"/>
        <w:jc w:val="both"/>
        <w:rPr>
          <w:rStyle w:val="Forte"/>
          <w:rFonts w:asciiTheme="minorHAnsi" w:hAnsiTheme="minorHAnsi" w:cs="Helvetica"/>
          <w:color w:val="333333"/>
          <w:sz w:val="22"/>
          <w:szCs w:val="22"/>
        </w:rPr>
      </w:pPr>
    </w:p>
    <w:p w:rsidR="007E3100" w:rsidRDefault="00FE2666" w:rsidP="00FE2666">
      <w:pPr>
        <w:shd w:val="clear" w:color="auto" w:fill="FFFFFF"/>
        <w:spacing w:after="0" w:line="240" w:lineRule="auto"/>
        <w:jc w:val="center"/>
        <w:rPr>
          <w:b/>
          <w:sz w:val="22"/>
          <w:szCs w:val="22"/>
        </w:rPr>
      </w:pPr>
      <w:r>
        <w:rPr>
          <w:b/>
          <w:sz w:val="22"/>
          <w:szCs w:val="22"/>
        </w:rPr>
        <w:t>RESOLUÇÃO CAMEX</w:t>
      </w:r>
      <w:r w:rsidRPr="00FE2666">
        <w:rPr>
          <w:b/>
          <w:sz w:val="22"/>
          <w:szCs w:val="22"/>
        </w:rPr>
        <w:t xml:space="preserve"> Nº </w:t>
      </w:r>
      <w:r>
        <w:rPr>
          <w:b/>
          <w:sz w:val="22"/>
          <w:szCs w:val="22"/>
        </w:rPr>
        <w:t>82</w:t>
      </w:r>
      <w:r w:rsidRPr="00FE2666">
        <w:rPr>
          <w:b/>
          <w:sz w:val="22"/>
          <w:szCs w:val="22"/>
        </w:rPr>
        <w:t>, DE 17 DE OUTUBRO DE 2017 (DOU 18/10/2017)</w:t>
      </w:r>
    </w:p>
    <w:p w:rsidR="00FE2666" w:rsidRPr="00FE2666" w:rsidRDefault="00FE2666" w:rsidP="00FE2666">
      <w:pPr>
        <w:shd w:val="clear" w:color="auto" w:fill="FFFFFF"/>
        <w:spacing w:after="0" w:line="240" w:lineRule="auto"/>
        <w:jc w:val="center"/>
        <w:rPr>
          <w:b/>
          <w:sz w:val="22"/>
          <w:szCs w:val="22"/>
        </w:rPr>
      </w:pPr>
    </w:p>
    <w:p w:rsidR="007E3100" w:rsidRPr="00FE2666" w:rsidRDefault="007E3100" w:rsidP="00FE2666">
      <w:pPr>
        <w:rPr>
          <w:sz w:val="22"/>
          <w:szCs w:val="22"/>
        </w:rPr>
      </w:pPr>
      <w:r w:rsidRPr="00FE2666">
        <w:rPr>
          <w:sz w:val="22"/>
          <w:szCs w:val="22"/>
        </w:rPr>
        <w:t>Homologa compromisso de preço e prorroga direito antidumping definitivo, por um prazo de até 5 (cinco) anos, aplicado às importações brasileiras de ácido cítrico e determinados sais de ácido cítrico, originárias da República Popular da China.</w:t>
      </w:r>
    </w:p>
    <w:p w:rsidR="007E3100" w:rsidRPr="00FE2666" w:rsidRDefault="007E3100" w:rsidP="00FE2666">
      <w:pPr>
        <w:rPr>
          <w:sz w:val="22"/>
          <w:szCs w:val="22"/>
        </w:rPr>
      </w:pPr>
      <w:r w:rsidRPr="00FE2666">
        <w:rPr>
          <w:sz w:val="22"/>
          <w:szCs w:val="22"/>
        </w:rPr>
        <w:t xml:space="preserve">O Comitê Executivo de Gestão da Câmara de Comércio Exterior, Tendo em Vista a Deliberação de sua 151ª Reunião, Realizada em 11 de </w:t>
      </w:r>
      <w:proofErr w:type="gramStart"/>
      <w:r w:rsidRPr="00FE2666">
        <w:rPr>
          <w:sz w:val="22"/>
          <w:szCs w:val="22"/>
        </w:rPr>
        <w:t>Outubro</w:t>
      </w:r>
      <w:proofErr w:type="gramEnd"/>
      <w:r w:rsidRPr="00FE2666">
        <w:rPr>
          <w:sz w:val="22"/>
          <w:szCs w:val="22"/>
        </w:rPr>
        <w:t xml:space="preserve"> de 2017, no uso da atribuição que lhe confere o art. 5º, § 4º, inciso II, do Decreto nº 4.732, de 10 de junho de 2003, e com fundamento nos </w:t>
      </w:r>
      <w:proofErr w:type="spellStart"/>
      <w:r w:rsidRPr="00FE2666">
        <w:rPr>
          <w:sz w:val="22"/>
          <w:szCs w:val="22"/>
        </w:rPr>
        <w:t>arts</w:t>
      </w:r>
      <w:proofErr w:type="spellEnd"/>
      <w:r w:rsidRPr="00FE2666">
        <w:rPr>
          <w:sz w:val="22"/>
          <w:szCs w:val="22"/>
        </w:rPr>
        <w:t>. 4º, § 1º, e 6º da Lei nº 9.019, de 30 de março de 1995, no art. 2º, incisos I e II, do Decreto nº 8.058, de 26 de julho de 2013, e no art. 2º, incisos XV e XVII, do Decreto nº 4.732, de 10 de junho de 2003,</w:t>
      </w:r>
    </w:p>
    <w:p w:rsidR="007E3100" w:rsidRPr="00FE2666" w:rsidRDefault="007E3100" w:rsidP="00FE2666">
      <w:pPr>
        <w:rPr>
          <w:sz w:val="22"/>
          <w:szCs w:val="22"/>
        </w:rPr>
      </w:pPr>
      <w:r w:rsidRPr="00FE2666">
        <w:rPr>
          <w:sz w:val="22"/>
          <w:szCs w:val="22"/>
        </w:rPr>
        <w:t>Considerando o que consta dos autos do Processo MDIC/SECEX 52272.002019/2016-60, resolve ad referendum do Conselho:</w:t>
      </w:r>
    </w:p>
    <w:p w:rsidR="007E3100" w:rsidRPr="00FE2666" w:rsidRDefault="007E3100" w:rsidP="00FE2666">
      <w:pPr>
        <w:rPr>
          <w:sz w:val="22"/>
          <w:szCs w:val="22"/>
        </w:rPr>
      </w:pPr>
      <w:r w:rsidRPr="00FE2666">
        <w:rPr>
          <w:sz w:val="22"/>
          <w:szCs w:val="22"/>
        </w:rPr>
        <w:lastRenderedPageBreak/>
        <w:t>Art. 1 º Prorrogar a aplicação do direito antidumping definitivo, por um prazo de até 5 (cinco) anos, aplicado às importações brasileiras de ácido cítrico e determinados sais de ácido cítrico, comumente classificadas nos itens 2918.14.00 e 2918.15.00 da Nomenclatura Comum do MERCOSUL - NCM, originárias da República Popular da China, a ser recolhido sob a forma de alíquota específica fixada em dólares estadunidenses por tonelada, nos montantes abaixo especificados:</w:t>
      </w:r>
    </w:p>
    <w:p w:rsidR="007E3100" w:rsidRPr="00FE2666" w:rsidRDefault="007E3100" w:rsidP="00FE2666">
      <w:pPr>
        <w:rPr>
          <w:sz w:val="22"/>
          <w:szCs w:val="22"/>
        </w:rPr>
      </w:pPr>
      <w:r w:rsidRPr="00FE2666">
        <w:rPr>
          <w:sz w:val="22"/>
          <w:szCs w:val="22"/>
        </w:rPr>
        <w:t>Em US$/t</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2"/>
        <w:gridCol w:w="5543"/>
        <w:gridCol w:w="1972"/>
      </w:tblGrid>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rFonts w:cs="Times New Roman"/>
                <w:sz w:val="22"/>
                <w:szCs w:val="22"/>
              </w:rPr>
            </w:pPr>
            <w:r w:rsidRPr="00FE2666">
              <w:rPr>
                <w:sz w:val="22"/>
                <w:szCs w:val="22"/>
              </w:rPr>
              <w:t>Origem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Produtor/Exportador</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Direito Antidumping</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China</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xml:space="preserve">TTCA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861,5</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Weifang</w:t>
            </w:r>
            <w:proofErr w:type="spellEnd"/>
            <w:r w:rsidRPr="00FE2666">
              <w:rPr>
                <w:sz w:val="22"/>
                <w:szCs w:val="22"/>
              </w:rPr>
              <w:t xml:space="preserve"> </w:t>
            </w:r>
            <w:proofErr w:type="spellStart"/>
            <w:r w:rsidRPr="00FE2666">
              <w:rPr>
                <w:sz w:val="22"/>
                <w:szCs w:val="22"/>
              </w:rPr>
              <w:t>Ensign</w:t>
            </w:r>
            <w:proofErr w:type="spellEnd"/>
            <w:r w:rsidRPr="00FE2666">
              <w:rPr>
                <w:sz w:val="22"/>
                <w:szCs w:val="22"/>
              </w:rPr>
              <w:t xml:space="preserve"> </w:t>
            </w:r>
            <w:proofErr w:type="spellStart"/>
            <w:r w:rsidRPr="00FE2666">
              <w:rPr>
                <w:sz w:val="22"/>
                <w:szCs w:val="22"/>
              </w:rPr>
              <w:t>Industry</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861,50</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xml:space="preserve">RZBC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861,50</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Anhui</w:t>
            </w:r>
            <w:proofErr w:type="spellEnd"/>
            <w:r w:rsidRPr="00FE2666">
              <w:rPr>
                <w:sz w:val="22"/>
                <w:szCs w:val="22"/>
              </w:rPr>
              <w:t xml:space="preserve"> BBCA </w:t>
            </w:r>
            <w:proofErr w:type="spellStart"/>
            <w:r w:rsidRPr="00FE2666">
              <w:rPr>
                <w:sz w:val="22"/>
                <w:szCs w:val="22"/>
              </w:rPr>
              <w:t>International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835,32</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Anhui</w:t>
            </w:r>
            <w:proofErr w:type="spellEnd"/>
            <w:r w:rsidRPr="00FE2666">
              <w:rPr>
                <w:sz w:val="22"/>
                <w:szCs w:val="22"/>
              </w:rPr>
              <w:t xml:space="preserve"> BBCA </w:t>
            </w:r>
            <w:proofErr w:type="spellStart"/>
            <w:r w:rsidRPr="00FE2666">
              <w:rPr>
                <w:sz w:val="22"/>
                <w:szCs w:val="22"/>
              </w:rPr>
              <w:t>Pharmaceutical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Anhui</w:t>
            </w:r>
            <w:proofErr w:type="spellEnd"/>
            <w:r w:rsidRPr="00FE2666">
              <w:rPr>
                <w:sz w:val="22"/>
                <w:szCs w:val="22"/>
              </w:rPr>
              <w:t xml:space="preserve"> </w:t>
            </w:r>
            <w:proofErr w:type="spellStart"/>
            <w:r w:rsidRPr="00FE2666">
              <w:rPr>
                <w:sz w:val="22"/>
                <w:szCs w:val="22"/>
              </w:rPr>
              <w:t>Koyo</w:t>
            </w:r>
            <w:proofErr w:type="spellEnd"/>
            <w:r w:rsidRPr="00FE2666">
              <w:rPr>
                <w:sz w:val="22"/>
                <w:szCs w:val="22"/>
              </w:rPr>
              <w:t xml:space="preserve"> Imp. &amp; Exp.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Augmentus</w:t>
            </w:r>
            <w:proofErr w:type="spellEnd"/>
            <w:r w:rsidRPr="00FE2666">
              <w:rPr>
                <w:sz w:val="22"/>
                <w:szCs w:val="22"/>
              </w:rPr>
              <w:t xml:space="preserve"> </w:t>
            </w:r>
            <w:proofErr w:type="spellStart"/>
            <w:r w:rsidRPr="00FE2666">
              <w:rPr>
                <w:sz w:val="22"/>
                <w:szCs w:val="22"/>
              </w:rPr>
              <w:t>Ltd</w:t>
            </w:r>
            <w:proofErr w:type="spellEnd"/>
            <w:r w:rsidRPr="00FE2666">
              <w:rPr>
                <w:sz w:val="22"/>
                <w:szCs w:val="22"/>
              </w:rPr>
              <w:t>. China</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Changle</w:t>
            </w:r>
            <w:proofErr w:type="spellEnd"/>
            <w:r w:rsidRPr="00FE2666">
              <w:rPr>
                <w:sz w:val="22"/>
                <w:szCs w:val="22"/>
              </w:rPr>
              <w:t xml:space="preserve"> Victor Trading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Changsha</w:t>
            </w:r>
            <w:proofErr w:type="spellEnd"/>
            <w:r w:rsidRPr="00FE2666">
              <w:rPr>
                <w:sz w:val="22"/>
                <w:szCs w:val="22"/>
              </w:rPr>
              <w:t xml:space="preserve"> </w:t>
            </w:r>
            <w:proofErr w:type="spellStart"/>
            <w:r w:rsidRPr="00FE2666">
              <w:rPr>
                <w:sz w:val="22"/>
                <w:szCs w:val="22"/>
              </w:rPr>
              <w:t>Newsky</w:t>
            </w:r>
            <w:proofErr w:type="spellEnd"/>
            <w:r w:rsidRPr="00FE2666">
              <w:rPr>
                <w:sz w:val="22"/>
                <w:szCs w:val="22"/>
              </w:rPr>
              <w:t xml:space="preserve"> </w:t>
            </w:r>
            <w:proofErr w:type="spellStart"/>
            <w:r w:rsidRPr="00FE2666">
              <w:rPr>
                <w:sz w:val="22"/>
                <w:szCs w:val="22"/>
              </w:rPr>
              <w:t>Chemical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Dalian</w:t>
            </w:r>
            <w:proofErr w:type="spellEnd"/>
            <w:r w:rsidRPr="00FE2666">
              <w:rPr>
                <w:sz w:val="22"/>
                <w:szCs w:val="22"/>
              </w:rPr>
              <w:t xml:space="preserve"> Platinum </w:t>
            </w:r>
            <w:proofErr w:type="spellStart"/>
            <w:r w:rsidRPr="00FE2666">
              <w:rPr>
                <w:sz w:val="22"/>
                <w:szCs w:val="22"/>
              </w:rPr>
              <w:t>Chemicals</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Farmasino</w:t>
            </w:r>
            <w:proofErr w:type="spellEnd"/>
            <w:r w:rsidRPr="00FE2666">
              <w:rPr>
                <w:sz w:val="22"/>
                <w:szCs w:val="22"/>
              </w:rPr>
              <w:t xml:space="preserve"> </w:t>
            </w:r>
            <w:proofErr w:type="spellStart"/>
            <w:r w:rsidRPr="00FE2666">
              <w:rPr>
                <w:sz w:val="22"/>
                <w:szCs w:val="22"/>
              </w:rPr>
              <w:t>Pharmaceuticals</w:t>
            </w:r>
            <w:proofErr w:type="spellEnd"/>
            <w:r w:rsidRPr="00FE2666">
              <w:rPr>
                <w:sz w:val="22"/>
                <w:szCs w:val="22"/>
              </w:rPr>
              <w:t xml:space="preserve"> (</w:t>
            </w:r>
            <w:proofErr w:type="spellStart"/>
            <w:r w:rsidRPr="00FE2666">
              <w:rPr>
                <w:sz w:val="22"/>
                <w:szCs w:val="22"/>
              </w:rPr>
              <w:t>Jiangsu</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Foodchem</w:t>
            </w:r>
            <w:proofErr w:type="spellEnd"/>
            <w:r w:rsidRPr="00FE2666">
              <w:rPr>
                <w:sz w:val="22"/>
                <w:szCs w:val="22"/>
              </w:rPr>
              <w:t xml:space="preserve"> </w:t>
            </w:r>
            <w:proofErr w:type="spellStart"/>
            <w:r w:rsidRPr="00FE2666">
              <w:rPr>
                <w:sz w:val="22"/>
                <w:szCs w:val="22"/>
              </w:rPr>
              <w:t>International</w:t>
            </w:r>
            <w:proofErr w:type="spellEnd"/>
            <w:r w:rsidRPr="00FE2666">
              <w:rPr>
                <w:sz w:val="22"/>
                <w:szCs w:val="22"/>
              </w:rPr>
              <w:t xml:space="preserve"> Corporation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Gansu</w:t>
            </w:r>
            <w:proofErr w:type="spellEnd"/>
            <w:r w:rsidRPr="00FE2666">
              <w:rPr>
                <w:sz w:val="22"/>
                <w:szCs w:val="22"/>
              </w:rPr>
              <w:t xml:space="preserve"> </w:t>
            </w:r>
            <w:proofErr w:type="spellStart"/>
            <w:r w:rsidRPr="00FE2666">
              <w:rPr>
                <w:sz w:val="22"/>
                <w:szCs w:val="22"/>
              </w:rPr>
              <w:t>Xuejing</w:t>
            </w:r>
            <w:proofErr w:type="spellEnd"/>
            <w:r w:rsidRPr="00FE2666">
              <w:rPr>
                <w:sz w:val="22"/>
                <w:szCs w:val="22"/>
              </w:rPr>
              <w:t xml:space="preserve"> </w:t>
            </w:r>
            <w:proofErr w:type="spellStart"/>
            <w:r w:rsidRPr="00FE2666">
              <w:rPr>
                <w:sz w:val="22"/>
                <w:szCs w:val="22"/>
              </w:rPr>
              <w:t>Biochemical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Gansu</w:t>
            </w:r>
            <w:proofErr w:type="spellEnd"/>
            <w:r w:rsidRPr="00FE2666">
              <w:rPr>
                <w:sz w:val="22"/>
                <w:szCs w:val="22"/>
              </w:rPr>
              <w:t xml:space="preserve"> </w:t>
            </w:r>
            <w:proofErr w:type="spellStart"/>
            <w:r w:rsidRPr="00FE2666">
              <w:rPr>
                <w:sz w:val="22"/>
                <w:szCs w:val="22"/>
              </w:rPr>
              <w:t>Xuejing</w:t>
            </w:r>
            <w:proofErr w:type="spellEnd"/>
            <w:r w:rsidRPr="00FE2666">
              <w:rPr>
                <w:sz w:val="22"/>
                <w:szCs w:val="22"/>
              </w:rPr>
              <w:t xml:space="preserve"> </w:t>
            </w:r>
            <w:proofErr w:type="spellStart"/>
            <w:r w:rsidRPr="00FE2666">
              <w:rPr>
                <w:sz w:val="22"/>
                <w:szCs w:val="22"/>
              </w:rPr>
              <w:t>Imp</w:t>
            </w:r>
            <w:proofErr w:type="spellEnd"/>
            <w:r w:rsidRPr="00FE2666">
              <w:rPr>
                <w:sz w:val="22"/>
                <w:szCs w:val="22"/>
              </w:rPr>
              <w:t xml:space="preserve"> &amp; </w:t>
            </w:r>
            <w:proofErr w:type="spellStart"/>
            <w:r w:rsidRPr="00FE2666">
              <w:rPr>
                <w:sz w:val="22"/>
                <w:szCs w:val="22"/>
              </w:rPr>
              <w:t>Exp</w:t>
            </w:r>
            <w:proofErr w:type="spellEnd"/>
            <w:r w:rsidRPr="00FE2666">
              <w:rPr>
                <w:sz w:val="22"/>
                <w:szCs w:val="22"/>
              </w:rPr>
              <w:t xml:space="preserve"> Co., </w:t>
            </w:r>
            <w:proofErr w:type="spellStart"/>
            <w:r w:rsidRPr="00FE2666">
              <w:rPr>
                <w:sz w:val="22"/>
                <w:szCs w:val="22"/>
              </w:rPr>
              <w:t>Ltd</w:t>
            </w:r>
            <w:proofErr w:type="spellEnd"/>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Hainan</w:t>
            </w:r>
            <w:proofErr w:type="spellEnd"/>
            <w:r w:rsidRPr="00FE2666">
              <w:rPr>
                <w:sz w:val="22"/>
                <w:szCs w:val="22"/>
              </w:rPr>
              <w:t xml:space="preserve"> </w:t>
            </w:r>
            <w:proofErr w:type="spellStart"/>
            <w:r w:rsidRPr="00FE2666">
              <w:rPr>
                <w:sz w:val="22"/>
                <w:szCs w:val="22"/>
              </w:rPr>
              <w:t>Zhongxin</w:t>
            </w:r>
            <w:proofErr w:type="spellEnd"/>
            <w:r w:rsidRPr="00FE2666">
              <w:rPr>
                <w:sz w:val="22"/>
                <w:szCs w:val="22"/>
              </w:rPr>
              <w:t xml:space="preserve"> </w:t>
            </w:r>
            <w:proofErr w:type="spellStart"/>
            <w:r w:rsidRPr="00FE2666">
              <w:rPr>
                <w:sz w:val="22"/>
                <w:szCs w:val="22"/>
              </w:rPr>
              <w:t>Chemical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lastRenderedPageBreak/>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Hangzhou</w:t>
            </w:r>
            <w:proofErr w:type="spellEnd"/>
            <w:r w:rsidRPr="00FE2666">
              <w:rPr>
                <w:sz w:val="22"/>
                <w:szCs w:val="22"/>
              </w:rPr>
              <w:t xml:space="preserve"> </w:t>
            </w:r>
            <w:proofErr w:type="spellStart"/>
            <w:r w:rsidRPr="00FE2666">
              <w:rPr>
                <w:sz w:val="22"/>
                <w:szCs w:val="22"/>
              </w:rPr>
              <w:t>Ruijiang</w:t>
            </w:r>
            <w:proofErr w:type="spellEnd"/>
            <w:r w:rsidRPr="00FE2666">
              <w:rPr>
                <w:sz w:val="22"/>
                <w:szCs w:val="22"/>
              </w:rPr>
              <w:t xml:space="preserve"> </w:t>
            </w:r>
            <w:proofErr w:type="spellStart"/>
            <w:r w:rsidRPr="00FE2666">
              <w:rPr>
                <w:sz w:val="22"/>
                <w:szCs w:val="22"/>
              </w:rPr>
              <w:t>Chemical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Huangshi</w:t>
            </w:r>
            <w:proofErr w:type="spellEnd"/>
            <w:r w:rsidRPr="00FE2666">
              <w:rPr>
                <w:sz w:val="22"/>
                <w:szCs w:val="22"/>
              </w:rPr>
              <w:t xml:space="preserve"> </w:t>
            </w:r>
            <w:proofErr w:type="spellStart"/>
            <w:r w:rsidRPr="00FE2666">
              <w:rPr>
                <w:sz w:val="22"/>
                <w:szCs w:val="22"/>
              </w:rPr>
              <w:t>Xinghua</w:t>
            </w:r>
            <w:proofErr w:type="spellEnd"/>
            <w:r w:rsidRPr="00FE2666">
              <w:rPr>
                <w:sz w:val="22"/>
                <w:szCs w:val="22"/>
              </w:rPr>
              <w:t xml:space="preserve"> </w:t>
            </w:r>
            <w:proofErr w:type="spellStart"/>
            <w:r w:rsidRPr="00FE2666">
              <w:rPr>
                <w:sz w:val="22"/>
                <w:szCs w:val="22"/>
              </w:rPr>
              <w:t>Biochemical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xml:space="preserve">Huber </w:t>
            </w:r>
            <w:proofErr w:type="spellStart"/>
            <w:r w:rsidRPr="00FE2666">
              <w:rPr>
                <w:sz w:val="22"/>
                <w:szCs w:val="22"/>
              </w:rPr>
              <w:t>Group</w:t>
            </w:r>
            <w:proofErr w:type="spellEnd"/>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Hugestone</w:t>
            </w:r>
            <w:proofErr w:type="spellEnd"/>
            <w:r w:rsidRPr="00FE2666">
              <w:rPr>
                <w:sz w:val="22"/>
                <w:szCs w:val="22"/>
              </w:rPr>
              <w:t xml:space="preserve"> Enterprise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Hunan</w:t>
            </w:r>
            <w:proofErr w:type="spellEnd"/>
            <w:r w:rsidRPr="00FE2666">
              <w:rPr>
                <w:sz w:val="22"/>
                <w:szCs w:val="22"/>
              </w:rPr>
              <w:t xml:space="preserve"> </w:t>
            </w:r>
            <w:proofErr w:type="spellStart"/>
            <w:r w:rsidRPr="00FE2666">
              <w:rPr>
                <w:sz w:val="22"/>
                <w:szCs w:val="22"/>
              </w:rPr>
              <w:t>Dongting</w:t>
            </w:r>
            <w:proofErr w:type="spellEnd"/>
            <w:r w:rsidRPr="00FE2666">
              <w:rPr>
                <w:sz w:val="22"/>
                <w:szCs w:val="22"/>
              </w:rPr>
              <w:t xml:space="preserve"> </w:t>
            </w:r>
            <w:proofErr w:type="spellStart"/>
            <w:r w:rsidRPr="00FE2666">
              <w:rPr>
                <w:sz w:val="22"/>
                <w:szCs w:val="22"/>
              </w:rPr>
              <w:t>Citric</w:t>
            </w:r>
            <w:proofErr w:type="spellEnd"/>
            <w:r w:rsidRPr="00FE2666">
              <w:rPr>
                <w:sz w:val="22"/>
                <w:szCs w:val="22"/>
              </w:rPr>
              <w:t xml:space="preserve"> </w:t>
            </w:r>
            <w:proofErr w:type="spellStart"/>
            <w:r w:rsidRPr="00FE2666">
              <w:rPr>
                <w:sz w:val="22"/>
                <w:szCs w:val="22"/>
              </w:rPr>
              <w:t>Acid</w:t>
            </w:r>
            <w:proofErr w:type="spellEnd"/>
            <w:r w:rsidRPr="00FE2666">
              <w:rPr>
                <w:sz w:val="22"/>
                <w:szCs w:val="22"/>
              </w:rPr>
              <w:t xml:space="preserve"> </w:t>
            </w:r>
            <w:proofErr w:type="spellStart"/>
            <w:r w:rsidRPr="00FE2666">
              <w:rPr>
                <w:sz w:val="22"/>
                <w:szCs w:val="22"/>
              </w:rPr>
              <w:t>Chemicals</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Jiali</w:t>
            </w:r>
            <w:proofErr w:type="spellEnd"/>
            <w:r w:rsidRPr="00FE2666">
              <w:rPr>
                <w:sz w:val="22"/>
                <w:szCs w:val="22"/>
              </w:rPr>
              <w:t xml:space="preserve"> </w:t>
            </w:r>
            <w:proofErr w:type="spellStart"/>
            <w:r w:rsidRPr="00FE2666">
              <w:rPr>
                <w:sz w:val="22"/>
                <w:szCs w:val="22"/>
              </w:rPr>
              <w:t>Bio</w:t>
            </w:r>
            <w:proofErr w:type="spellEnd"/>
            <w:r w:rsidRPr="00FE2666">
              <w:rPr>
                <w:sz w:val="22"/>
                <w:szCs w:val="22"/>
              </w:rPr>
              <w:t xml:space="preserve"> </w:t>
            </w:r>
            <w:proofErr w:type="spellStart"/>
            <w:r w:rsidRPr="00FE2666">
              <w:rPr>
                <w:sz w:val="22"/>
                <w:szCs w:val="22"/>
              </w:rPr>
              <w:t>Group</w:t>
            </w:r>
            <w:proofErr w:type="spellEnd"/>
            <w:r w:rsidRPr="00FE2666">
              <w:rPr>
                <w:sz w:val="22"/>
                <w:szCs w:val="22"/>
              </w:rPr>
              <w:t xml:space="preserve"> (</w:t>
            </w:r>
            <w:proofErr w:type="spellStart"/>
            <w:r w:rsidRPr="00FE2666">
              <w:rPr>
                <w:sz w:val="22"/>
                <w:szCs w:val="22"/>
              </w:rPr>
              <w:t>Qingdao</w:t>
            </w:r>
            <w:proofErr w:type="spellEnd"/>
            <w:r w:rsidRPr="00FE2666">
              <w:rPr>
                <w:sz w:val="22"/>
                <w:szCs w:val="22"/>
              </w:rPr>
              <w:t xml:space="preserve">)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Jiangsu</w:t>
            </w:r>
            <w:proofErr w:type="spellEnd"/>
            <w:r w:rsidRPr="00FE2666">
              <w:rPr>
                <w:sz w:val="22"/>
                <w:szCs w:val="22"/>
              </w:rPr>
              <w:t xml:space="preserve"> </w:t>
            </w:r>
            <w:proofErr w:type="spellStart"/>
            <w:r w:rsidRPr="00FE2666">
              <w:rPr>
                <w:sz w:val="22"/>
                <w:szCs w:val="22"/>
              </w:rPr>
              <w:t>Gadot</w:t>
            </w:r>
            <w:proofErr w:type="spellEnd"/>
            <w:r w:rsidRPr="00FE2666">
              <w:rPr>
                <w:sz w:val="22"/>
                <w:szCs w:val="22"/>
              </w:rPr>
              <w:t xml:space="preserve"> </w:t>
            </w:r>
            <w:proofErr w:type="spellStart"/>
            <w:r w:rsidRPr="00FE2666">
              <w:rPr>
                <w:sz w:val="22"/>
                <w:szCs w:val="22"/>
              </w:rPr>
              <w:t>Nuobei</w:t>
            </w:r>
            <w:proofErr w:type="spellEnd"/>
            <w:r w:rsidRPr="00FE2666">
              <w:rPr>
                <w:sz w:val="22"/>
                <w:szCs w:val="22"/>
              </w:rPr>
              <w:t xml:space="preserve"> </w:t>
            </w:r>
            <w:proofErr w:type="spellStart"/>
            <w:r w:rsidRPr="00FE2666">
              <w:rPr>
                <w:sz w:val="22"/>
                <w:szCs w:val="22"/>
              </w:rPr>
              <w:t>Biochemical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Jiangsu</w:t>
            </w:r>
            <w:proofErr w:type="spellEnd"/>
            <w:r w:rsidRPr="00FE2666">
              <w:rPr>
                <w:sz w:val="22"/>
                <w:szCs w:val="22"/>
              </w:rPr>
              <w:t xml:space="preserve"> Lemon </w:t>
            </w:r>
            <w:proofErr w:type="spellStart"/>
            <w:r w:rsidRPr="00FE2666">
              <w:rPr>
                <w:sz w:val="22"/>
                <w:szCs w:val="22"/>
              </w:rPr>
              <w:t>Chemical</w:t>
            </w:r>
            <w:proofErr w:type="spellEnd"/>
            <w:r w:rsidRPr="00FE2666">
              <w:rPr>
                <w:sz w:val="22"/>
                <w:szCs w:val="22"/>
              </w:rPr>
              <w:t xml:space="preserve"> &amp; Technology Co.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Juxianhongde</w:t>
            </w:r>
            <w:proofErr w:type="spellEnd"/>
            <w:r w:rsidRPr="00FE2666">
              <w:rPr>
                <w:sz w:val="22"/>
                <w:szCs w:val="22"/>
              </w:rPr>
              <w:t xml:space="preserve"> </w:t>
            </w:r>
            <w:proofErr w:type="spellStart"/>
            <w:r w:rsidRPr="00FE2666">
              <w:rPr>
                <w:sz w:val="22"/>
                <w:szCs w:val="22"/>
              </w:rPr>
              <w:t>Citriccid</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Kelco</w:t>
            </w:r>
            <w:proofErr w:type="spellEnd"/>
            <w:r w:rsidRPr="00FE2666">
              <w:rPr>
                <w:sz w:val="22"/>
                <w:szCs w:val="22"/>
              </w:rPr>
              <w:t xml:space="preserve"> </w:t>
            </w:r>
            <w:proofErr w:type="spellStart"/>
            <w:r w:rsidRPr="00FE2666">
              <w:rPr>
                <w:sz w:val="22"/>
                <w:szCs w:val="22"/>
              </w:rPr>
              <w:t>Chemicals</w:t>
            </w:r>
            <w:proofErr w:type="spellEnd"/>
            <w:r w:rsidRPr="00FE2666">
              <w:rPr>
                <w:sz w:val="22"/>
                <w:szCs w:val="22"/>
              </w:rPr>
              <w:t xml:space="preserve"> </w:t>
            </w:r>
            <w:proofErr w:type="spellStart"/>
            <w:proofErr w:type="gramStart"/>
            <w:r w:rsidRPr="00FE2666">
              <w:rPr>
                <w:sz w:val="22"/>
                <w:szCs w:val="22"/>
              </w:rPr>
              <w:t>Co.Ltd</w:t>
            </w:r>
            <w:proofErr w:type="spellEnd"/>
            <w:proofErr w:type="gram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Laiwu</w:t>
            </w:r>
            <w:proofErr w:type="spellEnd"/>
            <w:r w:rsidRPr="00FE2666">
              <w:rPr>
                <w:sz w:val="22"/>
                <w:szCs w:val="22"/>
              </w:rPr>
              <w:t xml:space="preserve"> </w:t>
            </w:r>
            <w:proofErr w:type="spellStart"/>
            <w:r w:rsidRPr="00FE2666">
              <w:rPr>
                <w:sz w:val="22"/>
                <w:szCs w:val="22"/>
              </w:rPr>
              <w:t>Taihe</w:t>
            </w:r>
            <w:proofErr w:type="spellEnd"/>
            <w:r w:rsidRPr="00FE2666">
              <w:rPr>
                <w:sz w:val="22"/>
                <w:szCs w:val="22"/>
              </w:rPr>
              <w:t xml:space="preserve"> </w:t>
            </w:r>
            <w:proofErr w:type="spellStart"/>
            <w:r w:rsidRPr="00FE2666">
              <w:rPr>
                <w:sz w:val="22"/>
                <w:szCs w:val="22"/>
              </w:rPr>
              <w:t>Biochemistry</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Lianyungang</w:t>
            </w:r>
            <w:proofErr w:type="spellEnd"/>
            <w:r w:rsidRPr="00FE2666">
              <w:rPr>
                <w:sz w:val="22"/>
                <w:szCs w:val="22"/>
              </w:rPr>
              <w:t xml:space="preserve"> </w:t>
            </w:r>
            <w:proofErr w:type="spellStart"/>
            <w:r w:rsidRPr="00FE2666">
              <w:rPr>
                <w:sz w:val="22"/>
                <w:szCs w:val="22"/>
              </w:rPr>
              <w:t>Mupro</w:t>
            </w:r>
            <w:proofErr w:type="spellEnd"/>
            <w:r w:rsidRPr="00FE2666">
              <w:rPr>
                <w:sz w:val="22"/>
                <w:szCs w:val="22"/>
              </w:rPr>
              <w:t xml:space="preserve"> Imp. &amp; Exp.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Lianyungang</w:t>
            </w:r>
            <w:proofErr w:type="spellEnd"/>
            <w:r w:rsidRPr="00FE2666">
              <w:rPr>
                <w:sz w:val="22"/>
                <w:szCs w:val="22"/>
              </w:rPr>
              <w:t xml:space="preserve"> </w:t>
            </w:r>
            <w:proofErr w:type="spellStart"/>
            <w:r w:rsidRPr="00FE2666">
              <w:rPr>
                <w:sz w:val="22"/>
                <w:szCs w:val="22"/>
              </w:rPr>
              <w:t>Samin</w:t>
            </w:r>
            <w:proofErr w:type="spellEnd"/>
            <w:r w:rsidRPr="00FE2666">
              <w:rPr>
                <w:sz w:val="22"/>
                <w:szCs w:val="22"/>
              </w:rPr>
              <w:t xml:space="preserve"> </w:t>
            </w:r>
            <w:proofErr w:type="spellStart"/>
            <w:r w:rsidRPr="00FE2666">
              <w:rPr>
                <w:sz w:val="22"/>
                <w:szCs w:val="22"/>
              </w:rPr>
              <w:t>Food</w:t>
            </w:r>
            <w:proofErr w:type="spellEnd"/>
            <w:r w:rsidRPr="00FE2666">
              <w:rPr>
                <w:sz w:val="22"/>
                <w:szCs w:val="22"/>
              </w:rPr>
              <w:t xml:space="preserve"> </w:t>
            </w:r>
            <w:proofErr w:type="spellStart"/>
            <w:r w:rsidRPr="00FE2666">
              <w:rPr>
                <w:sz w:val="22"/>
                <w:szCs w:val="22"/>
              </w:rPr>
              <w:t>Additives</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Lianyungang</w:t>
            </w:r>
            <w:proofErr w:type="spellEnd"/>
            <w:r w:rsidRPr="00FE2666">
              <w:rPr>
                <w:sz w:val="22"/>
                <w:szCs w:val="22"/>
              </w:rPr>
              <w:t xml:space="preserve"> </w:t>
            </w:r>
            <w:proofErr w:type="spellStart"/>
            <w:r w:rsidRPr="00FE2666">
              <w:rPr>
                <w:sz w:val="22"/>
                <w:szCs w:val="22"/>
              </w:rPr>
              <w:t>Shuren</w:t>
            </w:r>
            <w:proofErr w:type="spellEnd"/>
            <w:r w:rsidRPr="00FE2666">
              <w:rPr>
                <w:sz w:val="22"/>
                <w:szCs w:val="22"/>
              </w:rPr>
              <w:t xml:space="preserve"> </w:t>
            </w:r>
            <w:proofErr w:type="spellStart"/>
            <w:r w:rsidRPr="00FE2666">
              <w:rPr>
                <w:sz w:val="22"/>
                <w:szCs w:val="22"/>
              </w:rPr>
              <w:t>Scientific</w:t>
            </w:r>
            <w:proofErr w:type="spellEnd"/>
            <w:r w:rsidRPr="00FE2666">
              <w:rPr>
                <w:sz w:val="22"/>
                <w:szCs w:val="22"/>
              </w:rPr>
              <w:t xml:space="preserve"> </w:t>
            </w:r>
            <w:proofErr w:type="spellStart"/>
            <w:r w:rsidRPr="00FE2666">
              <w:rPr>
                <w:sz w:val="22"/>
                <w:szCs w:val="22"/>
              </w:rPr>
              <w:t>Creation</w:t>
            </w:r>
            <w:proofErr w:type="spellEnd"/>
            <w:r w:rsidRPr="00FE2666">
              <w:rPr>
                <w:sz w:val="22"/>
                <w:szCs w:val="22"/>
              </w:rPr>
              <w:t xml:space="preserve"> Imp. &amp; Exp.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Lianyungang</w:t>
            </w:r>
            <w:proofErr w:type="spellEnd"/>
            <w:r w:rsidRPr="00FE2666">
              <w:rPr>
                <w:sz w:val="22"/>
                <w:szCs w:val="22"/>
              </w:rPr>
              <w:t xml:space="preserve"> </w:t>
            </w:r>
            <w:proofErr w:type="spellStart"/>
            <w:r w:rsidRPr="00FE2666">
              <w:rPr>
                <w:sz w:val="22"/>
                <w:szCs w:val="22"/>
              </w:rPr>
              <w:t>Zhong</w:t>
            </w:r>
            <w:proofErr w:type="spellEnd"/>
            <w:r w:rsidRPr="00FE2666">
              <w:rPr>
                <w:sz w:val="22"/>
                <w:szCs w:val="22"/>
              </w:rPr>
              <w:t xml:space="preserve"> Fu </w:t>
            </w:r>
            <w:proofErr w:type="spellStart"/>
            <w:r w:rsidRPr="00FE2666">
              <w:rPr>
                <w:sz w:val="22"/>
                <w:szCs w:val="22"/>
              </w:rPr>
              <w:t>Imp</w:t>
            </w:r>
            <w:proofErr w:type="spellEnd"/>
            <w:r w:rsidRPr="00FE2666">
              <w:rPr>
                <w:sz w:val="22"/>
                <w:szCs w:val="22"/>
              </w:rPr>
              <w:t xml:space="preserve"> &amp; Exp.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Linyi</w:t>
            </w:r>
            <w:proofErr w:type="spellEnd"/>
            <w:r w:rsidRPr="00FE2666">
              <w:rPr>
                <w:sz w:val="22"/>
                <w:szCs w:val="22"/>
              </w:rPr>
              <w:t xml:space="preserve"> </w:t>
            </w:r>
            <w:proofErr w:type="spellStart"/>
            <w:r w:rsidRPr="00FE2666">
              <w:rPr>
                <w:sz w:val="22"/>
                <w:szCs w:val="22"/>
              </w:rPr>
              <w:t>Yingtai</w:t>
            </w:r>
            <w:proofErr w:type="spellEnd"/>
            <w:r w:rsidRPr="00FE2666">
              <w:rPr>
                <w:sz w:val="22"/>
                <w:szCs w:val="22"/>
              </w:rPr>
              <w:t xml:space="preserve"> </w:t>
            </w:r>
            <w:proofErr w:type="spellStart"/>
            <w:r w:rsidRPr="00FE2666">
              <w:rPr>
                <w:sz w:val="22"/>
                <w:szCs w:val="22"/>
              </w:rPr>
              <w:t>Economic</w:t>
            </w:r>
            <w:proofErr w:type="spellEnd"/>
            <w:r w:rsidRPr="00FE2666">
              <w:rPr>
                <w:sz w:val="22"/>
                <w:szCs w:val="22"/>
              </w:rPr>
              <w:t xml:space="preserve"> </w:t>
            </w:r>
            <w:proofErr w:type="spellStart"/>
            <w:r w:rsidRPr="00FE2666">
              <w:rPr>
                <w:sz w:val="22"/>
                <w:szCs w:val="22"/>
              </w:rPr>
              <w:t>and</w:t>
            </w:r>
            <w:proofErr w:type="spellEnd"/>
            <w:r w:rsidRPr="00FE2666">
              <w:rPr>
                <w:sz w:val="22"/>
                <w:szCs w:val="22"/>
              </w:rPr>
              <w:t xml:space="preserve"> Trading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Nantong</w:t>
            </w:r>
            <w:proofErr w:type="spellEnd"/>
            <w:r w:rsidRPr="00FE2666">
              <w:rPr>
                <w:sz w:val="22"/>
                <w:szCs w:val="22"/>
              </w:rPr>
              <w:t xml:space="preserve"> </w:t>
            </w:r>
            <w:proofErr w:type="spellStart"/>
            <w:r w:rsidRPr="00FE2666">
              <w:rPr>
                <w:sz w:val="22"/>
                <w:szCs w:val="22"/>
              </w:rPr>
              <w:t>Feiyu</w:t>
            </w:r>
            <w:proofErr w:type="spellEnd"/>
            <w:r w:rsidRPr="00FE2666">
              <w:rPr>
                <w:sz w:val="22"/>
                <w:szCs w:val="22"/>
              </w:rPr>
              <w:t xml:space="preserve"> Fine </w:t>
            </w:r>
            <w:proofErr w:type="spellStart"/>
            <w:r w:rsidRPr="00FE2666">
              <w:rPr>
                <w:sz w:val="22"/>
                <w:szCs w:val="22"/>
              </w:rPr>
              <w:t>Chemical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xml:space="preserve">New </w:t>
            </w:r>
            <w:proofErr w:type="spellStart"/>
            <w:r w:rsidRPr="00FE2666">
              <w:rPr>
                <w:sz w:val="22"/>
                <w:szCs w:val="22"/>
              </w:rPr>
              <w:t>Step</w:t>
            </w:r>
            <w:proofErr w:type="spellEnd"/>
            <w:r w:rsidRPr="00FE2666">
              <w:rPr>
                <w:sz w:val="22"/>
                <w:szCs w:val="22"/>
              </w:rPr>
              <w:t xml:space="preserve"> </w:t>
            </w:r>
            <w:proofErr w:type="spellStart"/>
            <w:r w:rsidRPr="00FE2666">
              <w:rPr>
                <w:sz w:val="22"/>
                <w:szCs w:val="22"/>
              </w:rPr>
              <w:t>Industry</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Natiprol</w:t>
            </w:r>
            <w:proofErr w:type="spellEnd"/>
            <w:r w:rsidRPr="00FE2666">
              <w:rPr>
                <w:sz w:val="22"/>
                <w:szCs w:val="22"/>
              </w:rPr>
              <w:t xml:space="preserve"> </w:t>
            </w:r>
            <w:proofErr w:type="spellStart"/>
            <w:r w:rsidRPr="00FE2666">
              <w:rPr>
                <w:sz w:val="22"/>
                <w:szCs w:val="22"/>
              </w:rPr>
              <w:t>Lianyungang</w:t>
            </w:r>
            <w:proofErr w:type="spellEnd"/>
            <w:r w:rsidRPr="00FE2666">
              <w:rPr>
                <w:sz w:val="22"/>
                <w:szCs w:val="22"/>
              </w:rPr>
              <w:t xml:space="preserve"> Co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Norbright</w:t>
            </w:r>
            <w:proofErr w:type="spellEnd"/>
            <w:r w:rsidRPr="00FE2666">
              <w:rPr>
                <w:sz w:val="22"/>
                <w:szCs w:val="22"/>
              </w:rPr>
              <w:t xml:space="preserve"> </w:t>
            </w:r>
            <w:proofErr w:type="spellStart"/>
            <w:r w:rsidRPr="00FE2666">
              <w:rPr>
                <w:sz w:val="22"/>
                <w:szCs w:val="22"/>
              </w:rPr>
              <w:t>Industry</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lastRenderedPageBreak/>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Qingdao</w:t>
            </w:r>
            <w:proofErr w:type="spellEnd"/>
            <w:r w:rsidRPr="00FE2666">
              <w:rPr>
                <w:sz w:val="22"/>
                <w:szCs w:val="22"/>
              </w:rPr>
              <w:t xml:space="preserve"> </w:t>
            </w:r>
            <w:proofErr w:type="spellStart"/>
            <w:r w:rsidRPr="00FE2666">
              <w:rPr>
                <w:sz w:val="22"/>
                <w:szCs w:val="22"/>
              </w:rPr>
              <w:t>Century</w:t>
            </w:r>
            <w:proofErr w:type="spellEnd"/>
            <w:r w:rsidRPr="00FE2666">
              <w:rPr>
                <w:sz w:val="22"/>
                <w:szCs w:val="22"/>
              </w:rPr>
              <w:t xml:space="preserve"> </w:t>
            </w:r>
            <w:proofErr w:type="spellStart"/>
            <w:r w:rsidRPr="00FE2666">
              <w:rPr>
                <w:sz w:val="22"/>
                <w:szCs w:val="22"/>
              </w:rPr>
              <w:t>Longlive</w:t>
            </w:r>
            <w:proofErr w:type="spellEnd"/>
            <w:r w:rsidRPr="00FE2666">
              <w:rPr>
                <w:sz w:val="22"/>
                <w:szCs w:val="22"/>
              </w:rPr>
              <w:t xml:space="preserve"> </w:t>
            </w:r>
            <w:proofErr w:type="spellStart"/>
            <w:r w:rsidRPr="00FE2666">
              <w:rPr>
                <w:sz w:val="22"/>
                <w:szCs w:val="22"/>
              </w:rPr>
              <w:t>Intl</w:t>
            </w:r>
            <w:proofErr w:type="spellEnd"/>
            <w:r w:rsidRPr="00FE2666">
              <w:rPr>
                <w:sz w:val="22"/>
                <w:szCs w:val="22"/>
              </w:rPr>
              <w:t xml:space="preserve">. Trade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Qingdao</w:t>
            </w:r>
            <w:proofErr w:type="spellEnd"/>
            <w:r w:rsidRPr="00FE2666">
              <w:rPr>
                <w:sz w:val="22"/>
                <w:szCs w:val="22"/>
              </w:rPr>
              <w:t xml:space="preserve"> Sun </w:t>
            </w:r>
            <w:proofErr w:type="spellStart"/>
            <w:r w:rsidRPr="00FE2666">
              <w:rPr>
                <w:sz w:val="22"/>
                <w:szCs w:val="22"/>
              </w:rPr>
              <w:t>Chemical</w:t>
            </w:r>
            <w:proofErr w:type="spellEnd"/>
            <w:r w:rsidRPr="00FE2666">
              <w:rPr>
                <w:sz w:val="22"/>
                <w:szCs w:val="22"/>
              </w:rPr>
              <w:t xml:space="preserve"> Corporation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Reephos</w:t>
            </w:r>
            <w:proofErr w:type="spellEnd"/>
            <w:r w:rsidRPr="00FE2666">
              <w:rPr>
                <w:sz w:val="22"/>
                <w:szCs w:val="22"/>
              </w:rPr>
              <w:t xml:space="preserve"> </w:t>
            </w:r>
            <w:proofErr w:type="spellStart"/>
            <w:r w:rsidRPr="00FE2666">
              <w:rPr>
                <w:sz w:val="22"/>
                <w:szCs w:val="22"/>
              </w:rPr>
              <w:t>Chemical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xml:space="preserve">Shangai </w:t>
            </w:r>
            <w:proofErr w:type="spellStart"/>
            <w:r w:rsidRPr="00FE2666">
              <w:rPr>
                <w:sz w:val="22"/>
                <w:szCs w:val="22"/>
              </w:rPr>
              <w:t>Fenhe</w:t>
            </w:r>
            <w:proofErr w:type="spellEnd"/>
            <w:r w:rsidRPr="00FE2666">
              <w:rPr>
                <w:sz w:val="22"/>
                <w:szCs w:val="22"/>
              </w:rPr>
              <w:t xml:space="preserve"> </w:t>
            </w:r>
            <w:proofErr w:type="spellStart"/>
            <w:r w:rsidRPr="00FE2666">
              <w:rPr>
                <w:sz w:val="22"/>
                <w:szCs w:val="22"/>
              </w:rPr>
              <w:t>International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xml:space="preserve">Shanghai </w:t>
            </w:r>
            <w:proofErr w:type="spellStart"/>
            <w:r w:rsidRPr="00FE2666">
              <w:rPr>
                <w:sz w:val="22"/>
                <w:szCs w:val="22"/>
              </w:rPr>
              <w:t>Trustin</w:t>
            </w:r>
            <w:proofErr w:type="spellEnd"/>
            <w:r w:rsidRPr="00FE2666">
              <w:rPr>
                <w:sz w:val="22"/>
                <w:szCs w:val="22"/>
              </w:rPr>
              <w:t xml:space="preserve"> </w:t>
            </w:r>
            <w:proofErr w:type="spellStart"/>
            <w:r w:rsidRPr="00FE2666">
              <w:rPr>
                <w:sz w:val="22"/>
                <w:szCs w:val="22"/>
              </w:rPr>
              <w:t>Chemical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xml:space="preserve">Shenzhen </w:t>
            </w:r>
            <w:proofErr w:type="spellStart"/>
            <w:r w:rsidRPr="00FE2666">
              <w:rPr>
                <w:sz w:val="22"/>
                <w:szCs w:val="22"/>
              </w:rPr>
              <w:t>Sed</w:t>
            </w:r>
            <w:proofErr w:type="spellEnd"/>
            <w:r w:rsidRPr="00FE2666">
              <w:rPr>
                <w:sz w:val="22"/>
                <w:szCs w:val="22"/>
              </w:rPr>
              <w:t xml:space="preserve"> </w:t>
            </w:r>
            <w:proofErr w:type="spellStart"/>
            <w:r w:rsidRPr="00FE2666">
              <w:rPr>
                <w:sz w:val="22"/>
                <w:szCs w:val="22"/>
              </w:rPr>
              <w:t>Industry</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Shihezi</w:t>
            </w:r>
            <w:proofErr w:type="spellEnd"/>
            <w:r w:rsidRPr="00FE2666">
              <w:rPr>
                <w:sz w:val="22"/>
                <w:szCs w:val="22"/>
              </w:rPr>
              <w:t xml:space="preserve"> City </w:t>
            </w:r>
            <w:proofErr w:type="spellStart"/>
            <w:r w:rsidRPr="00FE2666">
              <w:rPr>
                <w:sz w:val="22"/>
                <w:szCs w:val="22"/>
              </w:rPr>
              <w:t>Changyun</w:t>
            </w:r>
            <w:proofErr w:type="spellEnd"/>
            <w:r w:rsidRPr="00FE2666">
              <w:rPr>
                <w:sz w:val="22"/>
                <w:szCs w:val="22"/>
              </w:rPr>
              <w:t xml:space="preserve"> </w:t>
            </w:r>
            <w:proofErr w:type="spellStart"/>
            <w:r w:rsidRPr="00FE2666">
              <w:rPr>
                <w:sz w:val="22"/>
                <w:szCs w:val="22"/>
              </w:rPr>
              <w:t>Biochemical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Sigma-</w:t>
            </w:r>
            <w:proofErr w:type="spellStart"/>
            <w:r w:rsidRPr="00FE2666">
              <w:rPr>
                <w:sz w:val="22"/>
                <w:szCs w:val="22"/>
              </w:rPr>
              <w:t>Aldrich</w:t>
            </w:r>
            <w:proofErr w:type="spellEnd"/>
            <w:r w:rsidRPr="00FE2666">
              <w:rPr>
                <w:sz w:val="22"/>
                <w:szCs w:val="22"/>
              </w:rPr>
              <w:t xml:space="preserve"> China Inc.</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xml:space="preserve">Sinochem </w:t>
            </w:r>
            <w:proofErr w:type="spellStart"/>
            <w:r w:rsidRPr="00FE2666">
              <w:rPr>
                <w:sz w:val="22"/>
                <w:szCs w:val="22"/>
              </w:rPr>
              <w:t>Ningbo</w:t>
            </w:r>
            <w:proofErr w:type="spellEnd"/>
            <w:r w:rsidRPr="00FE2666">
              <w:rPr>
                <w:sz w:val="22"/>
                <w:szCs w:val="22"/>
              </w:rPr>
              <w:t xml:space="preserve">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xml:space="preserve">Sinochem </w:t>
            </w:r>
            <w:proofErr w:type="spellStart"/>
            <w:r w:rsidRPr="00FE2666">
              <w:rPr>
                <w:sz w:val="22"/>
                <w:szCs w:val="22"/>
              </w:rPr>
              <w:t>Qingdao</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xml:space="preserve">Tianjin </w:t>
            </w:r>
            <w:proofErr w:type="spellStart"/>
            <w:r w:rsidRPr="00FE2666">
              <w:rPr>
                <w:sz w:val="22"/>
                <w:szCs w:val="22"/>
              </w:rPr>
              <w:t>Chengyi</w:t>
            </w:r>
            <w:proofErr w:type="spellEnd"/>
            <w:r w:rsidRPr="00FE2666">
              <w:rPr>
                <w:sz w:val="22"/>
                <w:szCs w:val="22"/>
              </w:rPr>
              <w:t xml:space="preserve"> </w:t>
            </w:r>
            <w:proofErr w:type="spellStart"/>
            <w:r w:rsidRPr="00FE2666">
              <w:rPr>
                <w:sz w:val="22"/>
                <w:szCs w:val="22"/>
              </w:rPr>
              <w:t>International</w:t>
            </w:r>
            <w:proofErr w:type="spellEnd"/>
            <w:r w:rsidRPr="00FE2666">
              <w:rPr>
                <w:sz w:val="22"/>
                <w:szCs w:val="22"/>
              </w:rPr>
              <w:t xml:space="preserve"> Trading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xml:space="preserve">TTCA Co. </w:t>
            </w:r>
            <w:proofErr w:type="spellStart"/>
            <w:r w:rsidRPr="00FE2666">
              <w:rPr>
                <w:sz w:val="22"/>
                <w:szCs w:val="22"/>
              </w:rPr>
              <w:t>Ltd</w:t>
            </w:r>
            <w:proofErr w:type="spellEnd"/>
            <w:r w:rsidRPr="00FE2666">
              <w:rPr>
                <w:sz w:val="22"/>
                <w:szCs w:val="22"/>
              </w:rPr>
              <w:t>. West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Wenda</w:t>
            </w:r>
            <w:proofErr w:type="spellEnd"/>
            <w:r w:rsidRPr="00FE2666">
              <w:rPr>
                <w:sz w:val="22"/>
                <w:szCs w:val="22"/>
              </w:rPr>
              <w:t xml:space="preserve"> Co </w:t>
            </w:r>
            <w:proofErr w:type="spellStart"/>
            <w:r w:rsidRPr="00FE2666">
              <w:rPr>
                <w:sz w:val="22"/>
                <w:szCs w:val="22"/>
              </w:rPr>
              <w:t>Ltd</w:t>
            </w:r>
            <w:proofErr w:type="spellEnd"/>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Yixing</w:t>
            </w:r>
            <w:proofErr w:type="spellEnd"/>
            <w:r w:rsidRPr="00FE2666">
              <w:rPr>
                <w:sz w:val="22"/>
                <w:szCs w:val="22"/>
              </w:rPr>
              <w:t xml:space="preserve"> </w:t>
            </w:r>
            <w:proofErr w:type="spellStart"/>
            <w:r w:rsidRPr="00FE2666">
              <w:rPr>
                <w:sz w:val="22"/>
                <w:szCs w:val="22"/>
              </w:rPr>
              <w:t>Zhenfen</w:t>
            </w:r>
            <w:proofErr w:type="spellEnd"/>
            <w:r w:rsidRPr="00FE2666">
              <w:rPr>
                <w:sz w:val="22"/>
                <w:szCs w:val="22"/>
              </w:rPr>
              <w:t xml:space="preserve"> Medical </w:t>
            </w:r>
            <w:proofErr w:type="spellStart"/>
            <w:r w:rsidRPr="00FE2666">
              <w:rPr>
                <w:sz w:val="22"/>
                <w:szCs w:val="22"/>
              </w:rPr>
              <w:t>Chemical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Yixing</w:t>
            </w:r>
            <w:proofErr w:type="spellEnd"/>
            <w:r w:rsidRPr="00FE2666">
              <w:rPr>
                <w:sz w:val="22"/>
                <w:szCs w:val="22"/>
              </w:rPr>
              <w:t xml:space="preserve">-Union </w:t>
            </w:r>
            <w:proofErr w:type="spellStart"/>
            <w:r w:rsidRPr="00FE2666">
              <w:rPr>
                <w:sz w:val="22"/>
                <w:szCs w:val="22"/>
              </w:rPr>
              <w:t>Biochemical</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Zhangzhou</w:t>
            </w:r>
            <w:proofErr w:type="spellEnd"/>
            <w:r w:rsidRPr="00FE2666">
              <w:rPr>
                <w:sz w:val="22"/>
                <w:szCs w:val="22"/>
              </w:rPr>
              <w:t xml:space="preserve"> </w:t>
            </w:r>
            <w:proofErr w:type="spellStart"/>
            <w:r w:rsidRPr="00FE2666">
              <w:rPr>
                <w:sz w:val="22"/>
                <w:szCs w:val="22"/>
              </w:rPr>
              <w:t>Hongbin</w:t>
            </w:r>
            <w:proofErr w:type="spellEnd"/>
            <w:r w:rsidRPr="00FE2666">
              <w:rPr>
                <w:sz w:val="22"/>
                <w:szCs w:val="22"/>
              </w:rPr>
              <w:t xml:space="preserve"> </w:t>
            </w:r>
            <w:proofErr w:type="spellStart"/>
            <w:r w:rsidRPr="00FE2666">
              <w:rPr>
                <w:sz w:val="22"/>
                <w:szCs w:val="22"/>
              </w:rPr>
              <w:t>Import</w:t>
            </w:r>
            <w:proofErr w:type="spellEnd"/>
            <w:r w:rsidRPr="00FE2666">
              <w:rPr>
                <w:sz w:val="22"/>
                <w:szCs w:val="22"/>
              </w:rPr>
              <w:t xml:space="preserve"> &amp; </w:t>
            </w:r>
            <w:proofErr w:type="spellStart"/>
            <w:r w:rsidRPr="00FE2666">
              <w:rPr>
                <w:sz w:val="22"/>
                <w:szCs w:val="22"/>
              </w:rPr>
              <w:t>Export</w:t>
            </w:r>
            <w:proofErr w:type="spellEnd"/>
            <w:r w:rsidRPr="00FE2666">
              <w:rPr>
                <w:sz w:val="22"/>
                <w:szCs w:val="22"/>
              </w:rPr>
              <w:t xml:space="preserve"> Trading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Zhejiang</w:t>
            </w:r>
            <w:proofErr w:type="spellEnd"/>
            <w:r w:rsidRPr="00FE2666">
              <w:rPr>
                <w:sz w:val="22"/>
                <w:szCs w:val="22"/>
              </w:rPr>
              <w:t xml:space="preserve"> </w:t>
            </w:r>
            <w:proofErr w:type="spellStart"/>
            <w:r w:rsidRPr="00FE2666">
              <w:rPr>
                <w:sz w:val="22"/>
                <w:szCs w:val="22"/>
              </w:rPr>
              <w:t>Chemicals</w:t>
            </w:r>
            <w:proofErr w:type="spellEnd"/>
            <w:r w:rsidRPr="00FE2666">
              <w:rPr>
                <w:sz w:val="22"/>
                <w:szCs w:val="22"/>
              </w:rPr>
              <w:t xml:space="preserve"> </w:t>
            </w:r>
            <w:proofErr w:type="spellStart"/>
            <w:r w:rsidRPr="00FE2666">
              <w:rPr>
                <w:sz w:val="22"/>
                <w:szCs w:val="22"/>
              </w:rPr>
              <w:t>Import</w:t>
            </w:r>
            <w:proofErr w:type="spellEnd"/>
            <w:r w:rsidRPr="00FE2666">
              <w:rPr>
                <w:sz w:val="22"/>
                <w:szCs w:val="22"/>
              </w:rPr>
              <w:t xml:space="preserve"> &amp; </w:t>
            </w:r>
            <w:proofErr w:type="spellStart"/>
            <w:r w:rsidRPr="00FE2666">
              <w:rPr>
                <w:sz w:val="22"/>
                <w:szCs w:val="22"/>
              </w:rPr>
              <w:t>Export</w:t>
            </w:r>
            <w:proofErr w:type="spellEnd"/>
            <w:r w:rsidRPr="00FE2666">
              <w:rPr>
                <w:sz w:val="22"/>
                <w:szCs w:val="22"/>
              </w:rPr>
              <w:t xml:space="preserve"> Corporation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r w:rsidRPr="00FE2666">
              <w:rPr>
                <w:sz w:val="22"/>
                <w:szCs w:val="22"/>
              </w:rPr>
              <w:t>Zhejiang</w:t>
            </w:r>
            <w:proofErr w:type="spellEnd"/>
            <w:r w:rsidRPr="00FE2666">
              <w:rPr>
                <w:sz w:val="22"/>
                <w:szCs w:val="22"/>
              </w:rPr>
              <w:t xml:space="preserve"> </w:t>
            </w:r>
            <w:proofErr w:type="spellStart"/>
            <w:r w:rsidRPr="00FE2666">
              <w:rPr>
                <w:sz w:val="22"/>
                <w:szCs w:val="22"/>
              </w:rPr>
              <w:t>Chun-An</w:t>
            </w:r>
            <w:proofErr w:type="spellEnd"/>
            <w:r w:rsidRPr="00FE2666">
              <w:rPr>
                <w:sz w:val="22"/>
                <w:szCs w:val="22"/>
              </w:rPr>
              <w:t xml:space="preserve"> </w:t>
            </w:r>
            <w:proofErr w:type="spellStart"/>
            <w:r w:rsidRPr="00FE2666">
              <w:rPr>
                <w:sz w:val="22"/>
                <w:szCs w:val="22"/>
              </w:rPr>
              <w:t>Foreign</w:t>
            </w:r>
            <w:proofErr w:type="spellEnd"/>
            <w:r w:rsidRPr="00FE2666">
              <w:rPr>
                <w:sz w:val="22"/>
                <w:szCs w:val="22"/>
              </w:rPr>
              <w:t xml:space="preserve"> Trade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proofErr w:type="spellStart"/>
            <w:proofErr w:type="gramStart"/>
            <w:r w:rsidRPr="00FE2666">
              <w:rPr>
                <w:sz w:val="22"/>
                <w:szCs w:val="22"/>
              </w:rPr>
              <w:t>Zhejiang</w:t>
            </w:r>
            <w:proofErr w:type="spellEnd"/>
            <w:r w:rsidRPr="00FE2666">
              <w:rPr>
                <w:sz w:val="22"/>
                <w:szCs w:val="22"/>
              </w:rPr>
              <w:t xml:space="preserve"> Medicines</w:t>
            </w:r>
            <w:proofErr w:type="gramEnd"/>
            <w:r w:rsidRPr="00FE2666">
              <w:rPr>
                <w:sz w:val="22"/>
                <w:szCs w:val="22"/>
              </w:rPr>
              <w:t xml:space="preserve"> </w:t>
            </w:r>
            <w:proofErr w:type="spellStart"/>
            <w:r w:rsidRPr="00FE2666">
              <w:rPr>
                <w:sz w:val="22"/>
                <w:szCs w:val="22"/>
              </w:rPr>
              <w:t>and</w:t>
            </w:r>
            <w:proofErr w:type="spellEnd"/>
            <w:r w:rsidRPr="00FE2666">
              <w:rPr>
                <w:sz w:val="22"/>
                <w:szCs w:val="22"/>
              </w:rPr>
              <w:t xml:space="preserve"> Health </w:t>
            </w:r>
            <w:proofErr w:type="spellStart"/>
            <w:r w:rsidRPr="00FE2666">
              <w:rPr>
                <w:sz w:val="22"/>
                <w:szCs w:val="22"/>
              </w:rPr>
              <w:t>Products</w:t>
            </w:r>
            <w:proofErr w:type="spellEnd"/>
            <w:r w:rsidRPr="00FE2666">
              <w:rPr>
                <w:sz w:val="22"/>
                <w:szCs w:val="22"/>
              </w:rPr>
              <w:t xml:space="preserve"> Imp. &amp; Exp. Co. </w:t>
            </w:r>
            <w:proofErr w:type="spellStart"/>
            <w:r w:rsidRPr="00FE2666">
              <w:rPr>
                <w:sz w:val="22"/>
                <w:szCs w:val="22"/>
              </w:rPr>
              <w:t>Ltd</w:t>
            </w:r>
            <w:proofErr w:type="spellEnd"/>
            <w:r w:rsidRPr="00FE2666">
              <w:rPr>
                <w:sz w:val="22"/>
                <w:szCs w:val="22"/>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r>
      <w:tr w:rsidR="007E3100" w:rsidRPr="00FE2666" w:rsidTr="007E31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Demais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7E3100" w:rsidRPr="00FE2666" w:rsidRDefault="007E3100" w:rsidP="00FE2666">
            <w:pPr>
              <w:rPr>
                <w:sz w:val="22"/>
                <w:szCs w:val="22"/>
              </w:rPr>
            </w:pPr>
            <w:r w:rsidRPr="00FE2666">
              <w:rPr>
                <w:sz w:val="22"/>
                <w:szCs w:val="22"/>
              </w:rPr>
              <w:t>861,50</w:t>
            </w:r>
          </w:p>
        </w:tc>
      </w:tr>
    </w:tbl>
    <w:p w:rsidR="007E3100" w:rsidRPr="00FE2666" w:rsidRDefault="007E3100" w:rsidP="00FE2666">
      <w:pPr>
        <w:rPr>
          <w:sz w:val="22"/>
          <w:szCs w:val="22"/>
        </w:rPr>
      </w:pPr>
      <w:r w:rsidRPr="00FE2666">
        <w:rPr>
          <w:sz w:val="22"/>
          <w:szCs w:val="22"/>
        </w:rPr>
        <w:lastRenderedPageBreak/>
        <w:t xml:space="preserve">Art. 2º Homologar compromisso de preço, nos termos dos Anexos I e II, aplicável às importações brasileiras do produto especificado no art. 1º desta Resolução, quando originárias da República Popular da China, sempre que fabricado pelas empresas COFCO </w:t>
      </w:r>
      <w:proofErr w:type="spellStart"/>
      <w:r w:rsidRPr="00FE2666">
        <w:rPr>
          <w:sz w:val="22"/>
          <w:szCs w:val="22"/>
        </w:rPr>
        <w:t>Biochemical</w:t>
      </w:r>
      <w:proofErr w:type="spellEnd"/>
      <w:r w:rsidRPr="00FE2666">
        <w:rPr>
          <w:sz w:val="22"/>
          <w:szCs w:val="22"/>
        </w:rPr>
        <w:t xml:space="preserve"> (</w:t>
      </w:r>
      <w:proofErr w:type="spellStart"/>
      <w:r w:rsidRPr="00FE2666">
        <w:rPr>
          <w:sz w:val="22"/>
          <w:szCs w:val="22"/>
        </w:rPr>
        <w:t>Anhui</w:t>
      </w:r>
      <w:proofErr w:type="spellEnd"/>
      <w:r w:rsidRPr="00FE2666">
        <w:rPr>
          <w:sz w:val="22"/>
          <w:szCs w:val="22"/>
        </w:rPr>
        <w:t xml:space="preserve">), COFCO </w:t>
      </w:r>
      <w:proofErr w:type="spellStart"/>
      <w:r w:rsidRPr="00FE2666">
        <w:rPr>
          <w:sz w:val="22"/>
          <w:szCs w:val="22"/>
        </w:rPr>
        <w:t>Biochemical</w:t>
      </w:r>
      <w:proofErr w:type="spellEnd"/>
      <w:r w:rsidRPr="00FE2666">
        <w:rPr>
          <w:sz w:val="22"/>
          <w:szCs w:val="22"/>
        </w:rPr>
        <w:t xml:space="preserve"> (</w:t>
      </w:r>
      <w:proofErr w:type="spellStart"/>
      <w:r w:rsidRPr="00FE2666">
        <w:rPr>
          <w:sz w:val="22"/>
          <w:szCs w:val="22"/>
        </w:rPr>
        <w:t>Maanshan</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 e RZBC (</w:t>
      </w:r>
      <w:proofErr w:type="spellStart"/>
      <w:r w:rsidRPr="00FE2666">
        <w:rPr>
          <w:sz w:val="22"/>
          <w:szCs w:val="22"/>
        </w:rPr>
        <w:t>Juxian</w:t>
      </w:r>
      <w:proofErr w:type="spellEnd"/>
      <w:r w:rsidRPr="00FE2666">
        <w:rPr>
          <w:sz w:val="22"/>
          <w:szCs w:val="22"/>
        </w:rPr>
        <w:t xml:space="preserve">) Co. </w:t>
      </w:r>
      <w:proofErr w:type="spellStart"/>
      <w:r w:rsidRPr="00FE2666">
        <w:rPr>
          <w:sz w:val="22"/>
          <w:szCs w:val="22"/>
        </w:rPr>
        <w:t>Ltd</w:t>
      </w:r>
      <w:proofErr w:type="spellEnd"/>
      <w:r w:rsidRPr="00FE2666">
        <w:rPr>
          <w:sz w:val="22"/>
          <w:szCs w:val="22"/>
        </w:rPr>
        <w:t xml:space="preserve">. e exportado por essas mesmas empresas ou pela RZBC </w:t>
      </w:r>
      <w:proofErr w:type="spellStart"/>
      <w:r w:rsidRPr="00FE2666">
        <w:rPr>
          <w:sz w:val="22"/>
          <w:szCs w:val="22"/>
        </w:rPr>
        <w:t>Import</w:t>
      </w:r>
      <w:proofErr w:type="spellEnd"/>
      <w:r w:rsidRPr="00FE2666">
        <w:rPr>
          <w:sz w:val="22"/>
          <w:szCs w:val="22"/>
        </w:rPr>
        <w:t xml:space="preserve"> &amp; Export.</w:t>
      </w:r>
    </w:p>
    <w:p w:rsidR="007E3100" w:rsidRPr="00FE2666" w:rsidRDefault="007E3100" w:rsidP="00FE2666">
      <w:pPr>
        <w:rPr>
          <w:sz w:val="22"/>
          <w:szCs w:val="22"/>
        </w:rPr>
      </w:pPr>
      <w:r w:rsidRPr="00FE2666">
        <w:rPr>
          <w:sz w:val="22"/>
          <w:szCs w:val="22"/>
        </w:rPr>
        <w:t>Art. 3º Tornar públicos os fatos que justificaram a decisão, conforme consta do Anexo III.</w:t>
      </w:r>
    </w:p>
    <w:p w:rsidR="007E3100" w:rsidRPr="00FE2666" w:rsidRDefault="007E3100" w:rsidP="00FE2666">
      <w:pPr>
        <w:rPr>
          <w:sz w:val="22"/>
          <w:szCs w:val="22"/>
        </w:rPr>
      </w:pPr>
      <w:r w:rsidRPr="00FE2666">
        <w:rPr>
          <w:sz w:val="22"/>
          <w:szCs w:val="22"/>
        </w:rPr>
        <w:t>Art. 4º Esta Resolução entra em vigor na data de sua publicação no Diário Oficial da União.</w:t>
      </w:r>
    </w:p>
    <w:p w:rsidR="007E3100" w:rsidRPr="00FE2666" w:rsidRDefault="007E3100" w:rsidP="00FE2666">
      <w:pPr>
        <w:rPr>
          <w:sz w:val="22"/>
          <w:szCs w:val="22"/>
        </w:rPr>
      </w:pPr>
      <w:r w:rsidRPr="00FE2666">
        <w:rPr>
          <w:sz w:val="22"/>
          <w:szCs w:val="22"/>
        </w:rPr>
        <w:t>MARCOS PEREIRA</w:t>
      </w:r>
    </w:p>
    <w:p w:rsidR="007E3100" w:rsidRPr="00FE2666" w:rsidRDefault="007E3100" w:rsidP="00FE2666">
      <w:pPr>
        <w:rPr>
          <w:sz w:val="22"/>
          <w:szCs w:val="22"/>
        </w:rPr>
      </w:pPr>
      <w:r w:rsidRPr="00FE2666">
        <w:rPr>
          <w:sz w:val="22"/>
          <w:szCs w:val="22"/>
        </w:rPr>
        <w:t>Presidente do Comitê Executivo de Gestão</w:t>
      </w:r>
    </w:p>
    <w:p w:rsidR="007E3100" w:rsidRDefault="007E3100" w:rsidP="00B83B59">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p>
    <w:p w:rsidR="00B83B59" w:rsidRDefault="00B83B59" w:rsidP="00EA6C33">
      <w:pPr>
        <w:shd w:val="clear" w:color="auto" w:fill="FFFFFF"/>
        <w:spacing w:after="0" w:line="240" w:lineRule="auto"/>
        <w:jc w:val="center"/>
        <w:rPr>
          <w:b/>
          <w:sz w:val="48"/>
          <w:szCs w:val="48"/>
        </w:rPr>
      </w:pPr>
    </w:p>
    <w:sectPr w:rsidR="00B83B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ED5"/>
    <w:rsid w:val="000219E4"/>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A0588"/>
    <w:rsid w:val="000A224D"/>
    <w:rsid w:val="000A38E1"/>
    <w:rsid w:val="000A5B27"/>
    <w:rsid w:val="000A6A49"/>
    <w:rsid w:val="000A6EBC"/>
    <w:rsid w:val="000B1648"/>
    <w:rsid w:val="000B1AFE"/>
    <w:rsid w:val="000B4735"/>
    <w:rsid w:val="000B4817"/>
    <w:rsid w:val="000B4FCF"/>
    <w:rsid w:val="000B5E7B"/>
    <w:rsid w:val="000B6136"/>
    <w:rsid w:val="000B6B0F"/>
    <w:rsid w:val="000C0F31"/>
    <w:rsid w:val="000C2091"/>
    <w:rsid w:val="000C36DA"/>
    <w:rsid w:val="000C5696"/>
    <w:rsid w:val="000C6612"/>
    <w:rsid w:val="000C7C6A"/>
    <w:rsid w:val="000C7EED"/>
    <w:rsid w:val="000D06EB"/>
    <w:rsid w:val="000D248E"/>
    <w:rsid w:val="000D2D3A"/>
    <w:rsid w:val="000D3238"/>
    <w:rsid w:val="000D580C"/>
    <w:rsid w:val="000D5C96"/>
    <w:rsid w:val="000D6D0C"/>
    <w:rsid w:val="000D6E29"/>
    <w:rsid w:val="000E0386"/>
    <w:rsid w:val="000E3531"/>
    <w:rsid w:val="000E6F34"/>
    <w:rsid w:val="000E75AB"/>
    <w:rsid w:val="000E7D36"/>
    <w:rsid w:val="000F07DE"/>
    <w:rsid w:val="000F0965"/>
    <w:rsid w:val="000F0FCD"/>
    <w:rsid w:val="000F2658"/>
    <w:rsid w:val="000F5272"/>
    <w:rsid w:val="000F535C"/>
    <w:rsid w:val="000F67A9"/>
    <w:rsid w:val="001004FC"/>
    <w:rsid w:val="00100509"/>
    <w:rsid w:val="0010551D"/>
    <w:rsid w:val="00106C97"/>
    <w:rsid w:val="0011063E"/>
    <w:rsid w:val="00110FAB"/>
    <w:rsid w:val="001113E7"/>
    <w:rsid w:val="00113725"/>
    <w:rsid w:val="00113855"/>
    <w:rsid w:val="00113BE3"/>
    <w:rsid w:val="0012579F"/>
    <w:rsid w:val="00126A2E"/>
    <w:rsid w:val="00131C55"/>
    <w:rsid w:val="0013345C"/>
    <w:rsid w:val="001417D4"/>
    <w:rsid w:val="001417E8"/>
    <w:rsid w:val="001448FB"/>
    <w:rsid w:val="00146FB0"/>
    <w:rsid w:val="00147F00"/>
    <w:rsid w:val="00150586"/>
    <w:rsid w:val="00151695"/>
    <w:rsid w:val="0015182A"/>
    <w:rsid w:val="001538F5"/>
    <w:rsid w:val="001548C9"/>
    <w:rsid w:val="001561F4"/>
    <w:rsid w:val="00156558"/>
    <w:rsid w:val="001606CE"/>
    <w:rsid w:val="00162FB0"/>
    <w:rsid w:val="00166754"/>
    <w:rsid w:val="00166A9D"/>
    <w:rsid w:val="0017381C"/>
    <w:rsid w:val="001801D4"/>
    <w:rsid w:val="00180D88"/>
    <w:rsid w:val="001816C5"/>
    <w:rsid w:val="001821A9"/>
    <w:rsid w:val="00182293"/>
    <w:rsid w:val="00182C12"/>
    <w:rsid w:val="001833EA"/>
    <w:rsid w:val="00186E52"/>
    <w:rsid w:val="0018774F"/>
    <w:rsid w:val="001944D7"/>
    <w:rsid w:val="001949E8"/>
    <w:rsid w:val="0019614F"/>
    <w:rsid w:val="001A0C91"/>
    <w:rsid w:val="001A1358"/>
    <w:rsid w:val="001A173D"/>
    <w:rsid w:val="001A23F9"/>
    <w:rsid w:val="001A3F27"/>
    <w:rsid w:val="001A5011"/>
    <w:rsid w:val="001A78E0"/>
    <w:rsid w:val="001A7D8A"/>
    <w:rsid w:val="001B1C40"/>
    <w:rsid w:val="001B54DC"/>
    <w:rsid w:val="001C0D9D"/>
    <w:rsid w:val="001C21C1"/>
    <w:rsid w:val="001C5DFB"/>
    <w:rsid w:val="001E12B3"/>
    <w:rsid w:val="001E2A8A"/>
    <w:rsid w:val="001E2A98"/>
    <w:rsid w:val="001E3A13"/>
    <w:rsid w:val="001E6DEA"/>
    <w:rsid w:val="001F08A0"/>
    <w:rsid w:val="001F301B"/>
    <w:rsid w:val="001F5166"/>
    <w:rsid w:val="001F55A3"/>
    <w:rsid w:val="001F78CE"/>
    <w:rsid w:val="002003C7"/>
    <w:rsid w:val="002003D6"/>
    <w:rsid w:val="00200B20"/>
    <w:rsid w:val="002021C5"/>
    <w:rsid w:val="002049F8"/>
    <w:rsid w:val="00207745"/>
    <w:rsid w:val="002106B5"/>
    <w:rsid w:val="002137C9"/>
    <w:rsid w:val="002139D0"/>
    <w:rsid w:val="00215A90"/>
    <w:rsid w:val="002166D6"/>
    <w:rsid w:val="00216DD3"/>
    <w:rsid w:val="00217990"/>
    <w:rsid w:val="00223289"/>
    <w:rsid w:val="00223F40"/>
    <w:rsid w:val="0022541D"/>
    <w:rsid w:val="00225CCB"/>
    <w:rsid w:val="00232B30"/>
    <w:rsid w:val="00234C6F"/>
    <w:rsid w:val="002370EB"/>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605"/>
    <w:rsid w:val="00267818"/>
    <w:rsid w:val="00270304"/>
    <w:rsid w:val="0027465C"/>
    <w:rsid w:val="00281BC9"/>
    <w:rsid w:val="0028285B"/>
    <w:rsid w:val="00284274"/>
    <w:rsid w:val="00291EE6"/>
    <w:rsid w:val="00293FE3"/>
    <w:rsid w:val="0029546B"/>
    <w:rsid w:val="0029677A"/>
    <w:rsid w:val="0029691F"/>
    <w:rsid w:val="002979EA"/>
    <w:rsid w:val="002A2D42"/>
    <w:rsid w:val="002A3C53"/>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55BB"/>
    <w:rsid w:val="00305B60"/>
    <w:rsid w:val="00306C49"/>
    <w:rsid w:val="0030729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A2A"/>
    <w:rsid w:val="00364CF9"/>
    <w:rsid w:val="00365EDE"/>
    <w:rsid w:val="003705DD"/>
    <w:rsid w:val="00370718"/>
    <w:rsid w:val="00370C03"/>
    <w:rsid w:val="00371179"/>
    <w:rsid w:val="003724A1"/>
    <w:rsid w:val="003772AB"/>
    <w:rsid w:val="00381B33"/>
    <w:rsid w:val="00384E23"/>
    <w:rsid w:val="00393542"/>
    <w:rsid w:val="00393DB5"/>
    <w:rsid w:val="00397182"/>
    <w:rsid w:val="003971D3"/>
    <w:rsid w:val="00397BA9"/>
    <w:rsid w:val="003A0786"/>
    <w:rsid w:val="003A0B6B"/>
    <w:rsid w:val="003A0F29"/>
    <w:rsid w:val="003A169C"/>
    <w:rsid w:val="003A1CC8"/>
    <w:rsid w:val="003A2B19"/>
    <w:rsid w:val="003A3F1A"/>
    <w:rsid w:val="003A51B9"/>
    <w:rsid w:val="003A7CA2"/>
    <w:rsid w:val="003B556C"/>
    <w:rsid w:val="003B5964"/>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D7699"/>
    <w:rsid w:val="003D7B95"/>
    <w:rsid w:val="003E05AC"/>
    <w:rsid w:val="003E17DF"/>
    <w:rsid w:val="003E208D"/>
    <w:rsid w:val="003E3229"/>
    <w:rsid w:val="003E5B89"/>
    <w:rsid w:val="003E65EF"/>
    <w:rsid w:val="003F084C"/>
    <w:rsid w:val="003F0EE0"/>
    <w:rsid w:val="003F193B"/>
    <w:rsid w:val="003F30BD"/>
    <w:rsid w:val="003F54E4"/>
    <w:rsid w:val="003F5883"/>
    <w:rsid w:val="003F65B7"/>
    <w:rsid w:val="00401F8E"/>
    <w:rsid w:val="00403429"/>
    <w:rsid w:val="0040385C"/>
    <w:rsid w:val="0040484E"/>
    <w:rsid w:val="004051C2"/>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41DE"/>
    <w:rsid w:val="0044460A"/>
    <w:rsid w:val="00452420"/>
    <w:rsid w:val="00453102"/>
    <w:rsid w:val="00454015"/>
    <w:rsid w:val="00454D13"/>
    <w:rsid w:val="00455334"/>
    <w:rsid w:val="00455761"/>
    <w:rsid w:val="0045608A"/>
    <w:rsid w:val="004604DD"/>
    <w:rsid w:val="00461C8C"/>
    <w:rsid w:val="004624F0"/>
    <w:rsid w:val="00464FC7"/>
    <w:rsid w:val="00467553"/>
    <w:rsid w:val="00467749"/>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E38"/>
    <w:rsid w:val="005269B7"/>
    <w:rsid w:val="005308C9"/>
    <w:rsid w:val="005315D0"/>
    <w:rsid w:val="0053164A"/>
    <w:rsid w:val="00531FD9"/>
    <w:rsid w:val="00534E69"/>
    <w:rsid w:val="00537663"/>
    <w:rsid w:val="005403EF"/>
    <w:rsid w:val="00540E66"/>
    <w:rsid w:val="0054102B"/>
    <w:rsid w:val="00541682"/>
    <w:rsid w:val="00544FD9"/>
    <w:rsid w:val="0054788C"/>
    <w:rsid w:val="00551AB5"/>
    <w:rsid w:val="00553D56"/>
    <w:rsid w:val="005612DA"/>
    <w:rsid w:val="005638A7"/>
    <w:rsid w:val="005658ED"/>
    <w:rsid w:val="0056654A"/>
    <w:rsid w:val="0056788C"/>
    <w:rsid w:val="00571329"/>
    <w:rsid w:val="00575CFF"/>
    <w:rsid w:val="00581A15"/>
    <w:rsid w:val="00592241"/>
    <w:rsid w:val="0059294C"/>
    <w:rsid w:val="0059441E"/>
    <w:rsid w:val="0059649D"/>
    <w:rsid w:val="005968CE"/>
    <w:rsid w:val="005A72A1"/>
    <w:rsid w:val="005A772F"/>
    <w:rsid w:val="005A7813"/>
    <w:rsid w:val="005B01B3"/>
    <w:rsid w:val="005B1D21"/>
    <w:rsid w:val="005B35C3"/>
    <w:rsid w:val="005B649C"/>
    <w:rsid w:val="005B73C3"/>
    <w:rsid w:val="005B746A"/>
    <w:rsid w:val="005B7E1F"/>
    <w:rsid w:val="005C03D4"/>
    <w:rsid w:val="005C06F0"/>
    <w:rsid w:val="005C07D9"/>
    <w:rsid w:val="005C2921"/>
    <w:rsid w:val="005C3A69"/>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60225E"/>
    <w:rsid w:val="006026C9"/>
    <w:rsid w:val="00602FAF"/>
    <w:rsid w:val="00604584"/>
    <w:rsid w:val="0060494A"/>
    <w:rsid w:val="00604FF1"/>
    <w:rsid w:val="0060544E"/>
    <w:rsid w:val="0061153A"/>
    <w:rsid w:val="00611757"/>
    <w:rsid w:val="00615328"/>
    <w:rsid w:val="00625156"/>
    <w:rsid w:val="006300C4"/>
    <w:rsid w:val="006301C1"/>
    <w:rsid w:val="0063156C"/>
    <w:rsid w:val="0063329C"/>
    <w:rsid w:val="00635C5E"/>
    <w:rsid w:val="00637240"/>
    <w:rsid w:val="006453FF"/>
    <w:rsid w:val="0064555B"/>
    <w:rsid w:val="00651292"/>
    <w:rsid w:val="006537B1"/>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6916"/>
    <w:rsid w:val="00677DFD"/>
    <w:rsid w:val="0068065E"/>
    <w:rsid w:val="00680E87"/>
    <w:rsid w:val="00682422"/>
    <w:rsid w:val="0068278C"/>
    <w:rsid w:val="006830DE"/>
    <w:rsid w:val="00686D99"/>
    <w:rsid w:val="006870E1"/>
    <w:rsid w:val="006921F9"/>
    <w:rsid w:val="006958BE"/>
    <w:rsid w:val="006A121A"/>
    <w:rsid w:val="006A511B"/>
    <w:rsid w:val="006B1F64"/>
    <w:rsid w:val="006B3284"/>
    <w:rsid w:val="006B52EB"/>
    <w:rsid w:val="006C2009"/>
    <w:rsid w:val="006C4C54"/>
    <w:rsid w:val="006C4D6A"/>
    <w:rsid w:val="006C51FA"/>
    <w:rsid w:val="006D0D23"/>
    <w:rsid w:val="006D12D6"/>
    <w:rsid w:val="006E4120"/>
    <w:rsid w:val="006E4654"/>
    <w:rsid w:val="006E682E"/>
    <w:rsid w:val="006E68D3"/>
    <w:rsid w:val="006F0651"/>
    <w:rsid w:val="006F20D4"/>
    <w:rsid w:val="006F6FDA"/>
    <w:rsid w:val="00701DCB"/>
    <w:rsid w:val="007028CF"/>
    <w:rsid w:val="007048CA"/>
    <w:rsid w:val="00712182"/>
    <w:rsid w:val="00712B04"/>
    <w:rsid w:val="00712BAB"/>
    <w:rsid w:val="00713155"/>
    <w:rsid w:val="007149D6"/>
    <w:rsid w:val="0071541F"/>
    <w:rsid w:val="00715ACC"/>
    <w:rsid w:val="007163B9"/>
    <w:rsid w:val="00720D64"/>
    <w:rsid w:val="007213D1"/>
    <w:rsid w:val="00721703"/>
    <w:rsid w:val="00721DD8"/>
    <w:rsid w:val="007305CF"/>
    <w:rsid w:val="0073194F"/>
    <w:rsid w:val="00734CCD"/>
    <w:rsid w:val="00740A15"/>
    <w:rsid w:val="007410E9"/>
    <w:rsid w:val="00743DB5"/>
    <w:rsid w:val="007447C3"/>
    <w:rsid w:val="00745119"/>
    <w:rsid w:val="00746566"/>
    <w:rsid w:val="00747358"/>
    <w:rsid w:val="007479C9"/>
    <w:rsid w:val="00750681"/>
    <w:rsid w:val="00750ECD"/>
    <w:rsid w:val="0075186D"/>
    <w:rsid w:val="007542D6"/>
    <w:rsid w:val="007549A9"/>
    <w:rsid w:val="00760FE4"/>
    <w:rsid w:val="00761429"/>
    <w:rsid w:val="00761A75"/>
    <w:rsid w:val="00764A51"/>
    <w:rsid w:val="00766DA2"/>
    <w:rsid w:val="007700E0"/>
    <w:rsid w:val="00772694"/>
    <w:rsid w:val="00773335"/>
    <w:rsid w:val="00775038"/>
    <w:rsid w:val="00780DFB"/>
    <w:rsid w:val="00781DDD"/>
    <w:rsid w:val="007829B6"/>
    <w:rsid w:val="00782B20"/>
    <w:rsid w:val="00783860"/>
    <w:rsid w:val="00786ABA"/>
    <w:rsid w:val="00787A18"/>
    <w:rsid w:val="00791D29"/>
    <w:rsid w:val="00795BBE"/>
    <w:rsid w:val="0079641C"/>
    <w:rsid w:val="00797160"/>
    <w:rsid w:val="007A1477"/>
    <w:rsid w:val="007A29B5"/>
    <w:rsid w:val="007A3388"/>
    <w:rsid w:val="007A3D89"/>
    <w:rsid w:val="007B07F9"/>
    <w:rsid w:val="007B1093"/>
    <w:rsid w:val="007B3301"/>
    <w:rsid w:val="007B34B7"/>
    <w:rsid w:val="007B6AEA"/>
    <w:rsid w:val="007B6FB4"/>
    <w:rsid w:val="007B7AC2"/>
    <w:rsid w:val="007C08B8"/>
    <w:rsid w:val="007C2654"/>
    <w:rsid w:val="007C3459"/>
    <w:rsid w:val="007C43BE"/>
    <w:rsid w:val="007C455F"/>
    <w:rsid w:val="007C46AC"/>
    <w:rsid w:val="007C4E8B"/>
    <w:rsid w:val="007D11FD"/>
    <w:rsid w:val="007D12AA"/>
    <w:rsid w:val="007D12CC"/>
    <w:rsid w:val="007D2338"/>
    <w:rsid w:val="007D2B08"/>
    <w:rsid w:val="007D4A78"/>
    <w:rsid w:val="007E1324"/>
    <w:rsid w:val="007E3100"/>
    <w:rsid w:val="007E50BF"/>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1350"/>
    <w:rsid w:val="0086288A"/>
    <w:rsid w:val="00864474"/>
    <w:rsid w:val="008651E0"/>
    <w:rsid w:val="008673C1"/>
    <w:rsid w:val="00867D56"/>
    <w:rsid w:val="00870838"/>
    <w:rsid w:val="00871EDD"/>
    <w:rsid w:val="008814E1"/>
    <w:rsid w:val="00881F1C"/>
    <w:rsid w:val="008856E2"/>
    <w:rsid w:val="008924E5"/>
    <w:rsid w:val="008947D9"/>
    <w:rsid w:val="008955E8"/>
    <w:rsid w:val="00895F26"/>
    <w:rsid w:val="00895FB8"/>
    <w:rsid w:val="008960BC"/>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D1098"/>
    <w:rsid w:val="008D24CC"/>
    <w:rsid w:val="008D65C6"/>
    <w:rsid w:val="008E01E5"/>
    <w:rsid w:val="008E468C"/>
    <w:rsid w:val="008E493E"/>
    <w:rsid w:val="008F0866"/>
    <w:rsid w:val="008F0A72"/>
    <w:rsid w:val="008F1D42"/>
    <w:rsid w:val="008F4011"/>
    <w:rsid w:val="008F5F18"/>
    <w:rsid w:val="008F796D"/>
    <w:rsid w:val="009001B6"/>
    <w:rsid w:val="0090356F"/>
    <w:rsid w:val="00904576"/>
    <w:rsid w:val="00905EB0"/>
    <w:rsid w:val="0090687E"/>
    <w:rsid w:val="00911F91"/>
    <w:rsid w:val="00914DA4"/>
    <w:rsid w:val="009169F5"/>
    <w:rsid w:val="009172AE"/>
    <w:rsid w:val="00917641"/>
    <w:rsid w:val="00921067"/>
    <w:rsid w:val="00921BBA"/>
    <w:rsid w:val="009245C9"/>
    <w:rsid w:val="00926CB3"/>
    <w:rsid w:val="009350F3"/>
    <w:rsid w:val="00935B3E"/>
    <w:rsid w:val="00940AC7"/>
    <w:rsid w:val="0094473F"/>
    <w:rsid w:val="009457CF"/>
    <w:rsid w:val="009462E2"/>
    <w:rsid w:val="00946C75"/>
    <w:rsid w:val="00947D09"/>
    <w:rsid w:val="009502E3"/>
    <w:rsid w:val="00952EB9"/>
    <w:rsid w:val="009569AA"/>
    <w:rsid w:val="009569B1"/>
    <w:rsid w:val="00956D72"/>
    <w:rsid w:val="009573B2"/>
    <w:rsid w:val="009579A6"/>
    <w:rsid w:val="0096434A"/>
    <w:rsid w:val="009727B8"/>
    <w:rsid w:val="009730BA"/>
    <w:rsid w:val="00973147"/>
    <w:rsid w:val="00975238"/>
    <w:rsid w:val="00976EF8"/>
    <w:rsid w:val="009840CB"/>
    <w:rsid w:val="009871BA"/>
    <w:rsid w:val="00991A48"/>
    <w:rsid w:val="00992CE5"/>
    <w:rsid w:val="00993817"/>
    <w:rsid w:val="0099440E"/>
    <w:rsid w:val="00995005"/>
    <w:rsid w:val="00995F60"/>
    <w:rsid w:val="009A1B37"/>
    <w:rsid w:val="009A2A45"/>
    <w:rsid w:val="009A3A14"/>
    <w:rsid w:val="009A50A0"/>
    <w:rsid w:val="009A5EFA"/>
    <w:rsid w:val="009A6109"/>
    <w:rsid w:val="009A630B"/>
    <w:rsid w:val="009A736C"/>
    <w:rsid w:val="009A766E"/>
    <w:rsid w:val="009A77C9"/>
    <w:rsid w:val="009B07E9"/>
    <w:rsid w:val="009B3DCB"/>
    <w:rsid w:val="009B404A"/>
    <w:rsid w:val="009B6084"/>
    <w:rsid w:val="009C176F"/>
    <w:rsid w:val="009C1FE1"/>
    <w:rsid w:val="009C652C"/>
    <w:rsid w:val="009C6F72"/>
    <w:rsid w:val="009C74C1"/>
    <w:rsid w:val="009D028B"/>
    <w:rsid w:val="009D286B"/>
    <w:rsid w:val="009D52E3"/>
    <w:rsid w:val="009E1A65"/>
    <w:rsid w:val="009E7382"/>
    <w:rsid w:val="009F1724"/>
    <w:rsid w:val="009F1F10"/>
    <w:rsid w:val="009F3B76"/>
    <w:rsid w:val="009F721D"/>
    <w:rsid w:val="00A00727"/>
    <w:rsid w:val="00A01BA0"/>
    <w:rsid w:val="00A076EE"/>
    <w:rsid w:val="00A130D6"/>
    <w:rsid w:val="00A1410A"/>
    <w:rsid w:val="00A14CA3"/>
    <w:rsid w:val="00A16570"/>
    <w:rsid w:val="00A16E28"/>
    <w:rsid w:val="00A172E8"/>
    <w:rsid w:val="00A1746A"/>
    <w:rsid w:val="00A22802"/>
    <w:rsid w:val="00A229B0"/>
    <w:rsid w:val="00A240E8"/>
    <w:rsid w:val="00A26498"/>
    <w:rsid w:val="00A2790D"/>
    <w:rsid w:val="00A30765"/>
    <w:rsid w:val="00A31B60"/>
    <w:rsid w:val="00A3344E"/>
    <w:rsid w:val="00A344D2"/>
    <w:rsid w:val="00A40EC7"/>
    <w:rsid w:val="00A41774"/>
    <w:rsid w:val="00A42A25"/>
    <w:rsid w:val="00A430C7"/>
    <w:rsid w:val="00A43B0B"/>
    <w:rsid w:val="00A46B20"/>
    <w:rsid w:val="00A4737A"/>
    <w:rsid w:val="00A506B4"/>
    <w:rsid w:val="00A51C54"/>
    <w:rsid w:val="00A52707"/>
    <w:rsid w:val="00A53C10"/>
    <w:rsid w:val="00A56F02"/>
    <w:rsid w:val="00A63F5C"/>
    <w:rsid w:val="00A64D7D"/>
    <w:rsid w:val="00A70240"/>
    <w:rsid w:val="00A70F30"/>
    <w:rsid w:val="00A72E52"/>
    <w:rsid w:val="00A72ECE"/>
    <w:rsid w:val="00A756FD"/>
    <w:rsid w:val="00A806BA"/>
    <w:rsid w:val="00A808FD"/>
    <w:rsid w:val="00A84831"/>
    <w:rsid w:val="00A910AD"/>
    <w:rsid w:val="00A92A2F"/>
    <w:rsid w:val="00A939C0"/>
    <w:rsid w:val="00A93AA3"/>
    <w:rsid w:val="00A94A58"/>
    <w:rsid w:val="00A963A4"/>
    <w:rsid w:val="00AA15C1"/>
    <w:rsid w:val="00AA1806"/>
    <w:rsid w:val="00AA1ABE"/>
    <w:rsid w:val="00AA2531"/>
    <w:rsid w:val="00AA25BB"/>
    <w:rsid w:val="00AA7703"/>
    <w:rsid w:val="00AB0390"/>
    <w:rsid w:val="00AB1576"/>
    <w:rsid w:val="00AB1B67"/>
    <w:rsid w:val="00AB34E8"/>
    <w:rsid w:val="00AB375F"/>
    <w:rsid w:val="00AB4E52"/>
    <w:rsid w:val="00AB59A9"/>
    <w:rsid w:val="00AB6625"/>
    <w:rsid w:val="00AC0A57"/>
    <w:rsid w:val="00AC0AC2"/>
    <w:rsid w:val="00AC105E"/>
    <w:rsid w:val="00AC15BB"/>
    <w:rsid w:val="00AC5A3B"/>
    <w:rsid w:val="00AC6562"/>
    <w:rsid w:val="00AC68ED"/>
    <w:rsid w:val="00AD197F"/>
    <w:rsid w:val="00AD1FB2"/>
    <w:rsid w:val="00AD253C"/>
    <w:rsid w:val="00AD2E4E"/>
    <w:rsid w:val="00AD493D"/>
    <w:rsid w:val="00AD4E02"/>
    <w:rsid w:val="00AE0967"/>
    <w:rsid w:val="00AE3EC0"/>
    <w:rsid w:val="00AE5BB0"/>
    <w:rsid w:val="00AF19AA"/>
    <w:rsid w:val="00AF2E60"/>
    <w:rsid w:val="00AF5554"/>
    <w:rsid w:val="00AF6DBC"/>
    <w:rsid w:val="00B0535F"/>
    <w:rsid w:val="00B05A01"/>
    <w:rsid w:val="00B06226"/>
    <w:rsid w:val="00B066F0"/>
    <w:rsid w:val="00B07E22"/>
    <w:rsid w:val="00B103F8"/>
    <w:rsid w:val="00B1135D"/>
    <w:rsid w:val="00B11897"/>
    <w:rsid w:val="00B16580"/>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60084"/>
    <w:rsid w:val="00B60C19"/>
    <w:rsid w:val="00B65AC2"/>
    <w:rsid w:val="00B661EF"/>
    <w:rsid w:val="00B71B5F"/>
    <w:rsid w:val="00B71CC7"/>
    <w:rsid w:val="00B760E3"/>
    <w:rsid w:val="00B76111"/>
    <w:rsid w:val="00B771E2"/>
    <w:rsid w:val="00B77211"/>
    <w:rsid w:val="00B7770D"/>
    <w:rsid w:val="00B80ECF"/>
    <w:rsid w:val="00B81E2C"/>
    <w:rsid w:val="00B81E4D"/>
    <w:rsid w:val="00B83B59"/>
    <w:rsid w:val="00B908F7"/>
    <w:rsid w:val="00B92AF9"/>
    <w:rsid w:val="00B94D6C"/>
    <w:rsid w:val="00B97918"/>
    <w:rsid w:val="00BA4284"/>
    <w:rsid w:val="00BA7F11"/>
    <w:rsid w:val="00BB2289"/>
    <w:rsid w:val="00BB2EB8"/>
    <w:rsid w:val="00BB35BC"/>
    <w:rsid w:val="00BB4BAC"/>
    <w:rsid w:val="00BB4C7F"/>
    <w:rsid w:val="00BC1A33"/>
    <w:rsid w:val="00BC2757"/>
    <w:rsid w:val="00BC2E21"/>
    <w:rsid w:val="00BC3A80"/>
    <w:rsid w:val="00BC5C66"/>
    <w:rsid w:val="00BC6208"/>
    <w:rsid w:val="00BC65C2"/>
    <w:rsid w:val="00BD06CA"/>
    <w:rsid w:val="00BD6BC0"/>
    <w:rsid w:val="00BD77B6"/>
    <w:rsid w:val="00BE1825"/>
    <w:rsid w:val="00BE256D"/>
    <w:rsid w:val="00BE3CC3"/>
    <w:rsid w:val="00BE62FA"/>
    <w:rsid w:val="00BF01DD"/>
    <w:rsid w:val="00BF0AD8"/>
    <w:rsid w:val="00BF0C6D"/>
    <w:rsid w:val="00BF3B55"/>
    <w:rsid w:val="00BF533B"/>
    <w:rsid w:val="00BF5765"/>
    <w:rsid w:val="00BF5F4A"/>
    <w:rsid w:val="00BF6C5B"/>
    <w:rsid w:val="00BF73EE"/>
    <w:rsid w:val="00C00018"/>
    <w:rsid w:val="00C07E15"/>
    <w:rsid w:val="00C10FC0"/>
    <w:rsid w:val="00C12995"/>
    <w:rsid w:val="00C12DBB"/>
    <w:rsid w:val="00C156E8"/>
    <w:rsid w:val="00C15D4D"/>
    <w:rsid w:val="00C16BBA"/>
    <w:rsid w:val="00C16C50"/>
    <w:rsid w:val="00C1709B"/>
    <w:rsid w:val="00C21520"/>
    <w:rsid w:val="00C21FC2"/>
    <w:rsid w:val="00C2264C"/>
    <w:rsid w:val="00C2274B"/>
    <w:rsid w:val="00C23024"/>
    <w:rsid w:val="00C24782"/>
    <w:rsid w:val="00C30F9A"/>
    <w:rsid w:val="00C3107E"/>
    <w:rsid w:val="00C32B29"/>
    <w:rsid w:val="00C32E63"/>
    <w:rsid w:val="00C337B7"/>
    <w:rsid w:val="00C35B6B"/>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624BF"/>
    <w:rsid w:val="00C629DA"/>
    <w:rsid w:val="00C62CC7"/>
    <w:rsid w:val="00C6304E"/>
    <w:rsid w:val="00C713C1"/>
    <w:rsid w:val="00C71522"/>
    <w:rsid w:val="00C722F5"/>
    <w:rsid w:val="00C72960"/>
    <w:rsid w:val="00C741DC"/>
    <w:rsid w:val="00C74D2F"/>
    <w:rsid w:val="00C74DDD"/>
    <w:rsid w:val="00C75149"/>
    <w:rsid w:val="00C75342"/>
    <w:rsid w:val="00C758E9"/>
    <w:rsid w:val="00C76B5C"/>
    <w:rsid w:val="00C80483"/>
    <w:rsid w:val="00C805D1"/>
    <w:rsid w:val="00C81907"/>
    <w:rsid w:val="00C86DD1"/>
    <w:rsid w:val="00C86E22"/>
    <w:rsid w:val="00C90BF7"/>
    <w:rsid w:val="00C938A2"/>
    <w:rsid w:val="00C93AE1"/>
    <w:rsid w:val="00C97163"/>
    <w:rsid w:val="00C972DB"/>
    <w:rsid w:val="00CA5884"/>
    <w:rsid w:val="00CA768F"/>
    <w:rsid w:val="00CB0AEB"/>
    <w:rsid w:val="00CB290F"/>
    <w:rsid w:val="00CB2CB8"/>
    <w:rsid w:val="00CB31C6"/>
    <w:rsid w:val="00CB5687"/>
    <w:rsid w:val="00CB574E"/>
    <w:rsid w:val="00CC2006"/>
    <w:rsid w:val="00CD0D0C"/>
    <w:rsid w:val="00CD0F8F"/>
    <w:rsid w:val="00CD21E3"/>
    <w:rsid w:val="00CD461F"/>
    <w:rsid w:val="00CD7BB9"/>
    <w:rsid w:val="00CE52FA"/>
    <w:rsid w:val="00CE5C9D"/>
    <w:rsid w:val="00CE5F82"/>
    <w:rsid w:val="00CE6107"/>
    <w:rsid w:val="00CF1789"/>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73E9"/>
    <w:rsid w:val="00D1048A"/>
    <w:rsid w:val="00D10EF5"/>
    <w:rsid w:val="00D1383C"/>
    <w:rsid w:val="00D138EF"/>
    <w:rsid w:val="00D15090"/>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47B0"/>
    <w:rsid w:val="00D5715C"/>
    <w:rsid w:val="00D57ADF"/>
    <w:rsid w:val="00D6059B"/>
    <w:rsid w:val="00D6447A"/>
    <w:rsid w:val="00D64F05"/>
    <w:rsid w:val="00D65E90"/>
    <w:rsid w:val="00D66FC9"/>
    <w:rsid w:val="00D67354"/>
    <w:rsid w:val="00D73EA7"/>
    <w:rsid w:val="00D7502C"/>
    <w:rsid w:val="00D77DAF"/>
    <w:rsid w:val="00D80B00"/>
    <w:rsid w:val="00D80D3C"/>
    <w:rsid w:val="00D9139B"/>
    <w:rsid w:val="00D936D0"/>
    <w:rsid w:val="00D9730F"/>
    <w:rsid w:val="00D97A71"/>
    <w:rsid w:val="00D97F70"/>
    <w:rsid w:val="00DA0E04"/>
    <w:rsid w:val="00DA1253"/>
    <w:rsid w:val="00DA1BBE"/>
    <w:rsid w:val="00DA4117"/>
    <w:rsid w:val="00DB05C1"/>
    <w:rsid w:val="00DB086B"/>
    <w:rsid w:val="00DB4958"/>
    <w:rsid w:val="00DB6601"/>
    <w:rsid w:val="00DC10B0"/>
    <w:rsid w:val="00DC1FB8"/>
    <w:rsid w:val="00DC4AD3"/>
    <w:rsid w:val="00DC508F"/>
    <w:rsid w:val="00DD00EC"/>
    <w:rsid w:val="00DD1938"/>
    <w:rsid w:val="00DD248E"/>
    <w:rsid w:val="00DD27EE"/>
    <w:rsid w:val="00DD59BE"/>
    <w:rsid w:val="00DD5A3E"/>
    <w:rsid w:val="00DD7E83"/>
    <w:rsid w:val="00DE086E"/>
    <w:rsid w:val="00DE21D6"/>
    <w:rsid w:val="00DE62C7"/>
    <w:rsid w:val="00DE6B13"/>
    <w:rsid w:val="00DE784E"/>
    <w:rsid w:val="00DF71C1"/>
    <w:rsid w:val="00DF7F85"/>
    <w:rsid w:val="00E01F63"/>
    <w:rsid w:val="00E025F6"/>
    <w:rsid w:val="00E0279C"/>
    <w:rsid w:val="00E0780D"/>
    <w:rsid w:val="00E07EE7"/>
    <w:rsid w:val="00E10F78"/>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40E42"/>
    <w:rsid w:val="00E42CD2"/>
    <w:rsid w:val="00E430D3"/>
    <w:rsid w:val="00E442F4"/>
    <w:rsid w:val="00E44F22"/>
    <w:rsid w:val="00E45566"/>
    <w:rsid w:val="00E46D5E"/>
    <w:rsid w:val="00E47872"/>
    <w:rsid w:val="00E51263"/>
    <w:rsid w:val="00E54BC4"/>
    <w:rsid w:val="00E54DFB"/>
    <w:rsid w:val="00E55120"/>
    <w:rsid w:val="00E55CD8"/>
    <w:rsid w:val="00E56145"/>
    <w:rsid w:val="00E612AF"/>
    <w:rsid w:val="00E62816"/>
    <w:rsid w:val="00E677FB"/>
    <w:rsid w:val="00E67DAA"/>
    <w:rsid w:val="00E722EC"/>
    <w:rsid w:val="00E727D9"/>
    <w:rsid w:val="00E7662F"/>
    <w:rsid w:val="00E76C60"/>
    <w:rsid w:val="00E76CDD"/>
    <w:rsid w:val="00E80486"/>
    <w:rsid w:val="00E81910"/>
    <w:rsid w:val="00E81A37"/>
    <w:rsid w:val="00E83250"/>
    <w:rsid w:val="00E841CB"/>
    <w:rsid w:val="00E84A0C"/>
    <w:rsid w:val="00E84EFB"/>
    <w:rsid w:val="00E86FC8"/>
    <w:rsid w:val="00E872DB"/>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0AF7"/>
    <w:rsid w:val="00EB66A8"/>
    <w:rsid w:val="00EC09F6"/>
    <w:rsid w:val="00EC1447"/>
    <w:rsid w:val="00EC2C14"/>
    <w:rsid w:val="00EC3B64"/>
    <w:rsid w:val="00EC4C37"/>
    <w:rsid w:val="00ED0288"/>
    <w:rsid w:val="00ED0B38"/>
    <w:rsid w:val="00ED42BE"/>
    <w:rsid w:val="00ED676A"/>
    <w:rsid w:val="00ED70F7"/>
    <w:rsid w:val="00ED7684"/>
    <w:rsid w:val="00EE0224"/>
    <w:rsid w:val="00EE3844"/>
    <w:rsid w:val="00EE5423"/>
    <w:rsid w:val="00EE6A5E"/>
    <w:rsid w:val="00EF2C5E"/>
    <w:rsid w:val="00EF323F"/>
    <w:rsid w:val="00EF5076"/>
    <w:rsid w:val="00EF7915"/>
    <w:rsid w:val="00F00804"/>
    <w:rsid w:val="00F0553A"/>
    <w:rsid w:val="00F05966"/>
    <w:rsid w:val="00F05D2E"/>
    <w:rsid w:val="00F07D3E"/>
    <w:rsid w:val="00F07E54"/>
    <w:rsid w:val="00F12341"/>
    <w:rsid w:val="00F12376"/>
    <w:rsid w:val="00F24C8B"/>
    <w:rsid w:val="00F26FFB"/>
    <w:rsid w:val="00F3134C"/>
    <w:rsid w:val="00F31733"/>
    <w:rsid w:val="00F320BC"/>
    <w:rsid w:val="00F3268E"/>
    <w:rsid w:val="00F32E37"/>
    <w:rsid w:val="00F33252"/>
    <w:rsid w:val="00F34EC3"/>
    <w:rsid w:val="00F356B3"/>
    <w:rsid w:val="00F36A09"/>
    <w:rsid w:val="00F37803"/>
    <w:rsid w:val="00F40EA9"/>
    <w:rsid w:val="00F41B9F"/>
    <w:rsid w:val="00F4269A"/>
    <w:rsid w:val="00F4774F"/>
    <w:rsid w:val="00F47C11"/>
    <w:rsid w:val="00F534DA"/>
    <w:rsid w:val="00F54636"/>
    <w:rsid w:val="00F57FB3"/>
    <w:rsid w:val="00F6173E"/>
    <w:rsid w:val="00F622A1"/>
    <w:rsid w:val="00F65E1B"/>
    <w:rsid w:val="00F66F35"/>
    <w:rsid w:val="00F6771D"/>
    <w:rsid w:val="00F72D1D"/>
    <w:rsid w:val="00F73B31"/>
    <w:rsid w:val="00F77B0E"/>
    <w:rsid w:val="00F803FF"/>
    <w:rsid w:val="00F80E00"/>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2E77"/>
    <w:rsid w:val="00FC3B36"/>
    <w:rsid w:val="00FC3D19"/>
    <w:rsid w:val="00FC50A7"/>
    <w:rsid w:val="00FD1412"/>
    <w:rsid w:val="00FE1D37"/>
    <w:rsid w:val="00FE2666"/>
    <w:rsid w:val="00FE270B"/>
    <w:rsid w:val="00FE7EBE"/>
    <w:rsid w:val="00FF1483"/>
    <w:rsid w:val="00FF294F"/>
    <w:rsid w:val="00FF7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1F73"/>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2208</Words>
  <Characters>11928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2017-10-23T19:59:00Z</dcterms:created>
  <dcterms:modified xsi:type="dcterms:W3CDTF">2017-10-23T19:59:00Z</dcterms:modified>
</cp:coreProperties>
</file>