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BEE2" w14:textId="77777777" w:rsidR="006958BE" w:rsidRDefault="006958BE" w:rsidP="00C86DD1"/>
    <w:p w14:paraId="5FC29F12" w14:textId="77777777" w:rsidR="00654A76" w:rsidRDefault="00E51263" w:rsidP="00C86DD1">
      <w:r w:rsidRPr="00654A76">
        <w:rPr>
          <w:noProof/>
          <w:lang w:eastAsia="pt-BR"/>
        </w:rPr>
        <w:drawing>
          <wp:anchor distT="0" distB="0" distL="114300" distR="114300" simplePos="0" relativeHeight="251658240" behindDoc="0" locked="0" layoutInCell="1" allowOverlap="1" wp14:anchorId="3CD9D018" wp14:editId="0B110842">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14:paraId="485D4D81" w14:textId="2E39FB58" w:rsidR="00C3682B" w:rsidRPr="00F61C36" w:rsidRDefault="00C3682B" w:rsidP="00E51263">
      <w:pPr>
        <w:spacing w:after="0"/>
        <w:jc w:val="center"/>
        <w:rPr>
          <w:b/>
          <w:sz w:val="24"/>
          <w:szCs w:val="24"/>
        </w:rPr>
      </w:pPr>
      <w:r w:rsidRPr="00F61C36">
        <w:rPr>
          <w:b/>
          <w:sz w:val="24"/>
          <w:szCs w:val="24"/>
        </w:rPr>
        <w:t xml:space="preserve">ALERTA </w:t>
      </w:r>
      <w:r w:rsidR="00CC0F9B">
        <w:rPr>
          <w:b/>
          <w:sz w:val="24"/>
          <w:szCs w:val="24"/>
        </w:rPr>
        <w:t xml:space="preserve">DE </w:t>
      </w:r>
      <w:r w:rsidRPr="00F61C36">
        <w:rPr>
          <w:b/>
          <w:sz w:val="24"/>
          <w:szCs w:val="24"/>
        </w:rPr>
        <w:t>M</w:t>
      </w:r>
      <w:r w:rsidR="00AD197F" w:rsidRPr="00F61C36">
        <w:rPr>
          <w:b/>
          <w:sz w:val="24"/>
          <w:szCs w:val="24"/>
        </w:rPr>
        <w:t>EDIDA DE DEFESA COMERCIAL – n°</w:t>
      </w:r>
      <w:r w:rsidR="006830DE" w:rsidRPr="00F61C36">
        <w:rPr>
          <w:b/>
          <w:sz w:val="24"/>
          <w:szCs w:val="24"/>
        </w:rPr>
        <w:t xml:space="preserve"> </w:t>
      </w:r>
      <w:r w:rsidR="00DE54BE">
        <w:rPr>
          <w:b/>
          <w:sz w:val="24"/>
          <w:szCs w:val="24"/>
        </w:rPr>
        <w:t>1</w:t>
      </w:r>
      <w:r w:rsidR="008C316A">
        <w:rPr>
          <w:b/>
          <w:sz w:val="24"/>
          <w:szCs w:val="24"/>
        </w:rPr>
        <w:t>7</w:t>
      </w:r>
      <w:r w:rsidR="00A52707" w:rsidRPr="00F61C36">
        <w:rPr>
          <w:b/>
          <w:sz w:val="24"/>
          <w:szCs w:val="24"/>
        </w:rPr>
        <w:t>/201</w:t>
      </w:r>
      <w:r w:rsidR="008A1226">
        <w:rPr>
          <w:b/>
          <w:sz w:val="24"/>
          <w:szCs w:val="24"/>
        </w:rPr>
        <w:t>9</w:t>
      </w:r>
    </w:p>
    <w:p w14:paraId="3E733125" w14:textId="77777777" w:rsidR="00746566" w:rsidRPr="00F61C36" w:rsidRDefault="00746566" w:rsidP="00E51263">
      <w:pPr>
        <w:spacing w:after="0"/>
        <w:jc w:val="center"/>
        <w:rPr>
          <w:b/>
          <w:sz w:val="24"/>
          <w:szCs w:val="24"/>
        </w:rPr>
      </w:pPr>
    </w:p>
    <w:p w14:paraId="643125C4" w14:textId="77777777" w:rsidR="00C3682B" w:rsidRPr="00F61C36" w:rsidRDefault="00C3682B" w:rsidP="00C3682B">
      <w:pPr>
        <w:rPr>
          <w:sz w:val="24"/>
          <w:szCs w:val="24"/>
        </w:rPr>
      </w:pPr>
      <w:r w:rsidRPr="00F61C36">
        <w:rPr>
          <w:sz w:val="24"/>
          <w:szCs w:val="24"/>
        </w:rPr>
        <w:t>Prezado Associado,</w:t>
      </w:r>
    </w:p>
    <w:p w14:paraId="4C82BB6D" w14:textId="77777777"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14:paraId="4E5D1BAA" w14:textId="77777777" w:rsidR="00146FB0" w:rsidRPr="00F61C36" w:rsidRDefault="00146FB0" w:rsidP="003C7813">
      <w:pPr>
        <w:rPr>
          <w:sz w:val="24"/>
          <w:szCs w:val="24"/>
        </w:rPr>
      </w:pPr>
      <w:r w:rsidRPr="00F61C36">
        <w:rPr>
          <w:sz w:val="24"/>
          <w:szCs w:val="24"/>
        </w:rPr>
        <w:t>Trata-se de informação de caráter exclusivo para associados com divulgação restrita.</w:t>
      </w:r>
    </w:p>
    <w:p w14:paraId="64FB2524" w14:textId="77777777" w:rsidR="00C16C50" w:rsidRPr="00F61C36" w:rsidRDefault="00C16C50" w:rsidP="00C16C50">
      <w:pPr>
        <w:rPr>
          <w:sz w:val="24"/>
          <w:szCs w:val="24"/>
        </w:rPr>
      </w:pPr>
      <w:r w:rsidRPr="00F61C36">
        <w:rPr>
          <w:sz w:val="24"/>
          <w:szCs w:val="24"/>
        </w:rPr>
        <w:t>Para cancelar o recebimento, solicitamos enviar mensagem neste e.mail.</w:t>
      </w:r>
    </w:p>
    <w:p w14:paraId="11CCD4DC" w14:textId="77777777" w:rsidR="00C16C50" w:rsidRPr="00F61C36" w:rsidRDefault="00C16C50" w:rsidP="00C16C50">
      <w:pPr>
        <w:rPr>
          <w:sz w:val="24"/>
          <w:szCs w:val="24"/>
        </w:rPr>
      </w:pPr>
      <w:r w:rsidRPr="00F61C36">
        <w:rPr>
          <w:sz w:val="24"/>
          <w:szCs w:val="24"/>
        </w:rPr>
        <w:t>Atenciosamente,</w:t>
      </w:r>
    </w:p>
    <w:p w14:paraId="225A177C" w14:textId="2BA6BE7A" w:rsidR="001A16FB" w:rsidRDefault="00C16C50" w:rsidP="00A0419E">
      <w:pPr>
        <w:rPr>
          <w:sz w:val="24"/>
          <w:szCs w:val="24"/>
        </w:rPr>
      </w:pPr>
      <w:r w:rsidRPr="00F61C36">
        <w:rPr>
          <w:sz w:val="24"/>
          <w:szCs w:val="24"/>
        </w:rPr>
        <w:t>Secretaria Executiva da ABECE</w:t>
      </w:r>
    </w:p>
    <w:p w14:paraId="7543B74D" w14:textId="77777777" w:rsidR="001A16FB" w:rsidRDefault="001A16FB" w:rsidP="00A0419E">
      <w:pPr>
        <w:rPr>
          <w:sz w:val="24"/>
          <w:szCs w:val="24"/>
        </w:rPr>
      </w:pPr>
    </w:p>
    <w:p w14:paraId="41DBFB36" w14:textId="099C2078" w:rsidR="001A16FB" w:rsidRPr="00E74827" w:rsidRDefault="004A60A4" w:rsidP="001A16FB">
      <w:pPr>
        <w:shd w:val="clear" w:color="auto" w:fill="FFFFFF"/>
        <w:spacing w:after="0" w:line="240" w:lineRule="auto"/>
        <w:rPr>
          <w:rFonts w:eastAsia="Times New Roman" w:cstheme="minorHAnsi"/>
          <w:color w:val="222222"/>
          <w:sz w:val="22"/>
          <w:szCs w:val="22"/>
          <w:lang w:eastAsia="pt-BR"/>
        </w:rPr>
      </w:pPr>
      <w:bookmarkStart w:id="0" w:name="_Hlk11082289"/>
      <w:r>
        <w:rPr>
          <w:rFonts w:cstheme="minorHAnsi"/>
          <w:b/>
          <w:bCs/>
          <w:color w:val="222222"/>
          <w:sz w:val="22"/>
          <w:szCs w:val="22"/>
        </w:rPr>
        <w:t>LAMINADOS PLANOS DE AÇO</w:t>
      </w:r>
      <w:r w:rsidR="001A16FB" w:rsidRPr="0091032B">
        <w:rPr>
          <w:rFonts w:cstheme="minorHAnsi"/>
          <w:b/>
          <w:bCs/>
          <w:color w:val="222222"/>
          <w:sz w:val="22"/>
          <w:szCs w:val="22"/>
        </w:rPr>
        <w:t xml:space="preserve"> (NCM</w:t>
      </w:r>
      <w:r w:rsidR="00D936CB">
        <w:rPr>
          <w:rFonts w:cstheme="minorHAnsi"/>
          <w:b/>
          <w:bCs/>
          <w:color w:val="222222"/>
          <w:sz w:val="22"/>
          <w:szCs w:val="22"/>
        </w:rPr>
        <w:t xml:space="preserve"> </w:t>
      </w:r>
      <w:r w:rsidR="00D936CB" w:rsidRPr="00D936CB">
        <w:rPr>
          <w:b/>
          <w:sz w:val="22"/>
          <w:szCs w:val="22"/>
        </w:rPr>
        <w:t>7208.10.00, 7208.25.00, 7208.26.10, 7208.26.90, 7208.27.10, 7208.27.90, 7208.36.10, 7208.36.90, 7208.37.00, 7208.38.10, 7208.38.90, 7208.39.10, 7208.39.90, 7208.40.00, 7208.53.00, 7208.54.00, 7208.90.00, 7225.30.00 e 7225.40.90</w:t>
      </w:r>
      <w:r w:rsidR="001A16FB" w:rsidRPr="0091032B">
        <w:rPr>
          <w:rFonts w:cstheme="minorHAnsi"/>
          <w:b/>
          <w:bCs/>
          <w:color w:val="222222"/>
          <w:sz w:val="22"/>
          <w:szCs w:val="22"/>
        </w:rPr>
        <w:t> </w:t>
      </w:r>
      <w:r w:rsidR="001A16FB" w:rsidRPr="0091032B">
        <w:rPr>
          <w:rFonts w:cstheme="minorHAnsi"/>
          <w:b/>
          <w:bCs/>
          <w:color w:val="000000"/>
          <w:sz w:val="22"/>
          <w:szCs w:val="22"/>
        </w:rPr>
        <w:t>)</w:t>
      </w:r>
      <w:r w:rsidR="001A16FB" w:rsidRPr="0091032B">
        <w:rPr>
          <w:rFonts w:cstheme="minorHAnsi"/>
          <w:b/>
          <w:bCs/>
          <w:color w:val="222222"/>
          <w:sz w:val="22"/>
          <w:szCs w:val="22"/>
        </w:rPr>
        <w:t> –</w:t>
      </w:r>
      <w:r w:rsidR="001A16FB" w:rsidRPr="0091032B">
        <w:rPr>
          <w:rFonts w:cstheme="minorHAnsi"/>
          <w:color w:val="222222"/>
          <w:sz w:val="22"/>
          <w:szCs w:val="22"/>
        </w:rPr>
        <w:t> A SECEX</w:t>
      </w:r>
      <w:r w:rsidR="002E689B" w:rsidRPr="0091032B">
        <w:rPr>
          <w:rFonts w:cstheme="minorHAnsi"/>
          <w:sz w:val="22"/>
          <w:szCs w:val="22"/>
        </w:rPr>
        <w:t xml:space="preserve"> </w:t>
      </w:r>
      <w:r w:rsidR="0091032B">
        <w:rPr>
          <w:rFonts w:cstheme="minorHAnsi"/>
          <w:sz w:val="22"/>
          <w:szCs w:val="22"/>
        </w:rPr>
        <w:t>t</w:t>
      </w:r>
      <w:r w:rsidR="0091032B" w:rsidRPr="0091032B">
        <w:rPr>
          <w:rFonts w:cstheme="minorHAnsi"/>
          <w:bCs/>
          <w:sz w:val="22"/>
          <w:szCs w:val="22"/>
        </w:rPr>
        <w:t>orn</w:t>
      </w:r>
      <w:r w:rsidR="0091032B">
        <w:rPr>
          <w:rFonts w:cstheme="minorHAnsi"/>
          <w:bCs/>
          <w:sz w:val="22"/>
          <w:szCs w:val="22"/>
        </w:rPr>
        <w:t>ou</w:t>
      </w:r>
      <w:r w:rsidR="0091032B" w:rsidRPr="0091032B">
        <w:rPr>
          <w:rFonts w:cstheme="minorHAnsi"/>
          <w:bCs/>
          <w:sz w:val="22"/>
          <w:szCs w:val="22"/>
        </w:rPr>
        <w:t xml:space="preserve"> público o pedido de reaplicação da medida antidumping aplicada e que se encontra suspensa por razões de interesse público, conforme Resolução Camex nº 97</w:t>
      </w:r>
      <w:r w:rsidR="003635EE">
        <w:rPr>
          <w:rFonts w:cstheme="minorHAnsi"/>
          <w:bCs/>
          <w:sz w:val="22"/>
          <w:szCs w:val="22"/>
        </w:rPr>
        <w:t>,</w:t>
      </w:r>
      <w:r w:rsidR="0091032B" w:rsidRPr="0091032B">
        <w:rPr>
          <w:rFonts w:cstheme="minorHAnsi"/>
          <w:bCs/>
          <w:sz w:val="22"/>
          <w:szCs w:val="22"/>
        </w:rPr>
        <w:t xml:space="preserve"> de 07 de dezembro de 2018</w:t>
      </w:r>
      <w:r w:rsidR="003635EE">
        <w:rPr>
          <w:rFonts w:cstheme="minorHAnsi"/>
          <w:bCs/>
          <w:sz w:val="22"/>
          <w:szCs w:val="22"/>
        </w:rPr>
        <w:t xml:space="preserve">, </w:t>
      </w:r>
      <w:r w:rsidR="00BE6E75">
        <w:rPr>
          <w:rFonts w:cstheme="minorHAnsi"/>
          <w:bCs/>
          <w:sz w:val="22"/>
          <w:szCs w:val="22"/>
        </w:rPr>
        <w:t>sobre a</w:t>
      </w:r>
      <w:r w:rsidR="00BE6E75" w:rsidRPr="006954FD">
        <w:rPr>
          <w:bCs/>
          <w:sz w:val="22"/>
          <w:szCs w:val="22"/>
        </w:rPr>
        <w:t xml:space="preserve">s importações de laminados planos, de aço ligado ou não ligado, de largura igual ou superior a 600 mm, laminados a quente, em chapas (não enrolados) de espessura inferior a 4,75 mm, ou em bobinas (em rolos) de qualquer espessura, </w:t>
      </w:r>
      <w:r w:rsidR="00BE6E75">
        <w:rPr>
          <w:bCs/>
          <w:sz w:val="22"/>
          <w:szCs w:val="22"/>
        </w:rPr>
        <w:t>NCM</w:t>
      </w:r>
      <w:r w:rsidR="00BE6E75" w:rsidRPr="006954FD">
        <w:rPr>
          <w:bCs/>
          <w:sz w:val="22"/>
          <w:szCs w:val="22"/>
        </w:rPr>
        <w:t xml:space="preserve"> 7208.10.00, 7208.25.00, 7208.26.10, 7208.26.90, 7208.27.10, 7208.27.90, 7208.36.10, 7208.36.90, 7208.37.00, 7208.38.10, 7208.38.90, 7208.39.10, 7208.39.90, 7208.40.00, 7208.53.</w:t>
      </w:r>
      <w:r w:rsidR="006B38F3">
        <w:rPr>
          <w:bCs/>
          <w:sz w:val="22"/>
          <w:szCs w:val="22"/>
        </w:rPr>
        <w:t xml:space="preserve"> </w:t>
      </w:r>
      <w:r w:rsidR="00BE6E75" w:rsidRPr="006954FD">
        <w:rPr>
          <w:bCs/>
          <w:sz w:val="22"/>
          <w:szCs w:val="22"/>
        </w:rPr>
        <w:t>00, 7208.54.00, 7208.90.00, 7225.30.00 e 7225.40.90</w:t>
      </w:r>
      <w:r w:rsidR="00BE6E75">
        <w:rPr>
          <w:bCs/>
          <w:sz w:val="22"/>
          <w:szCs w:val="22"/>
        </w:rPr>
        <w:t>,</w:t>
      </w:r>
      <w:r w:rsidR="00BE6E75" w:rsidRPr="006954FD">
        <w:rPr>
          <w:bCs/>
          <w:sz w:val="22"/>
          <w:szCs w:val="22"/>
        </w:rPr>
        <w:t xml:space="preserve"> originárias da Rússia e da China</w:t>
      </w:r>
      <w:r w:rsidR="00BE6E75">
        <w:rPr>
          <w:bCs/>
          <w:sz w:val="22"/>
          <w:szCs w:val="22"/>
        </w:rPr>
        <w:t>.</w:t>
      </w:r>
      <w:r w:rsidR="00BE6E75" w:rsidRPr="006954FD">
        <w:rPr>
          <w:bCs/>
          <w:sz w:val="22"/>
          <w:szCs w:val="22"/>
        </w:rPr>
        <w:t xml:space="preserve"> </w:t>
      </w:r>
      <w:r w:rsidR="0023219F">
        <w:rPr>
          <w:bCs/>
          <w:sz w:val="22"/>
          <w:szCs w:val="22"/>
        </w:rPr>
        <w:t>No mesmo ato, abriu</w:t>
      </w:r>
      <w:r w:rsidR="0023219F" w:rsidRPr="006954FD">
        <w:rPr>
          <w:bCs/>
          <w:sz w:val="22"/>
          <w:szCs w:val="22"/>
        </w:rPr>
        <w:t xml:space="preserve"> </w:t>
      </w:r>
      <w:r w:rsidR="0023219F">
        <w:rPr>
          <w:bCs/>
          <w:sz w:val="22"/>
          <w:szCs w:val="22"/>
        </w:rPr>
        <w:t>até o dia</w:t>
      </w:r>
      <w:r>
        <w:rPr>
          <w:bCs/>
          <w:sz w:val="22"/>
          <w:szCs w:val="22"/>
        </w:rPr>
        <w:t xml:space="preserve"> 22 de novembro de 2019</w:t>
      </w:r>
      <w:r w:rsidR="0023219F" w:rsidRPr="006954FD">
        <w:rPr>
          <w:bCs/>
          <w:sz w:val="22"/>
          <w:szCs w:val="22"/>
        </w:rPr>
        <w:t xml:space="preserve"> para o recebimento de manifestações sobre o pedido</w:t>
      </w:r>
      <w:r>
        <w:rPr>
          <w:bCs/>
          <w:sz w:val="22"/>
          <w:szCs w:val="22"/>
        </w:rPr>
        <w:t>.</w:t>
      </w:r>
      <w:r w:rsidR="00FA783D">
        <w:rPr>
          <w:bCs/>
          <w:sz w:val="22"/>
          <w:szCs w:val="22"/>
        </w:rPr>
        <w:t xml:space="preserve"> Da listagem de mercadorias, estão sujeitos a licenciamento automático, com </w:t>
      </w:r>
      <w:r w:rsidR="00980F59">
        <w:rPr>
          <w:bCs/>
          <w:sz w:val="22"/>
          <w:szCs w:val="22"/>
        </w:rPr>
        <w:t>exame da SECEX, as NCM 7208.27.90, 7208</w:t>
      </w:r>
      <w:r w:rsidR="001F0F36">
        <w:rPr>
          <w:bCs/>
          <w:sz w:val="22"/>
          <w:szCs w:val="22"/>
        </w:rPr>
        <w:t>.38.90, 7208.39.90 e 7225.40.90. Subordinam</w:t>
      </w:r>
      <w:r w:rsidR="00225022">
        <w:rPr>
          <w:bCs/>
          <w:sz w:val="22"/>
          <w:szCs w:val="22"/>
        </w:rPr>
        <w:t>-se à anuência da SECEX, por licenciamento não automático, as NCM 7208.36.10, 7208.36.90</w:t>
      </w:r>
      <w:r w:rsidR="006B38F3">
        <w:rPr>
          <w:bCs/>
          <w:sz w:val="22"/>
          <w:szCs w:val="22"/>
        </w:rPr>
        <w:t>, 7208.37.00</w:t>
      </w:r>
      <w:r w:rsidR="008F02D6">
        <w:rPr>
          <w:bCs/>
          <w:sz w:val="22"/>
          <w:szCs w:val="22"/>
        </w:rPr>
        <w:t xml:space="preserve"> e 7208.53.00. As demais estão dispensadas de licenciamento.</w:t>
      </w:r>
      <w:r w:rsidR="001A16FB" w:rsidRPr="00E74827">
        <w:rPr>
          <w:rFonts w:cstheme="minorHAnsi"/>
          <w:color w:val="222222"/>
          <w:sz w:val="22"/>
          <w:szCs w:val="22"/>
        </w:rPr>
        <w:t> (</w:t>
      </w:r>
      <w:r w:rsidR="00E308C5">
        <w:rPr>
          <w:rFonts w:cstheme="minorHAnsi"/>
          <w:color w:val="222222"/>
          <w:sz w:val="22"/>
          <w:szCs w:val="22"/>
        </w:rPr>
        <w:t>Circular SECEX</w:t>
      </w:r>
      <w:r w:rsidR="001A16FB" w:rsidRPr="00E74827">
        <w:rPr>
          <w:rFonts w:cstheme="minorHAnsi"/>
          <w:color w:val="222222"/>
          <w:sz w:val="22"/>
          <w:szCs w:val="22"/>
        </w:rPr>
        <w:t xml:space="preserve"> n°</w:t>
      </w:r>
      <w:r w:rsidR="005B0B25" w:rsidRPr="00E74827">
        <w:rPr>
          <w:rFonts w:cstheme="minorHAnsi"/>
          <w:color w:val="222222"/>
          <w:sz w:val="22"/>
          <w:szCs w:val="22"/>
        </w:rPr>
        <w:t xml:space="preserve"> </w:t>
      </w:r>
      <w:r w:rsidR="00E308C5">
        <w:rPr>
          <w:rFonts w:cstheme="minorHAnsi"/>
          <w:color w:val="222222"/>
          <w:sz w:val="22"/>
          <w:szCs w:val="22"/>
        </w:rPr>
        <w:t>59,</w:t>
      </w:r>
      <w:r w:rsidR="005B0B25" w:rsidRPr="00E74827">
        <w:rPr>
          <w:rFonts w:cstheme="minorHAnsi"/>
          <w:color w:val="222222"/>
          <w:sz w:val="22"/>
          <w:szCs w:val="22"/>
        </w:rPr>
        <w:t xml:space="preserve"> de</w:t>
      </w:r>
      <w:r w:rsidR="001A16FB" w:rsidRPr="00E74827">
        <w:rPr>
          <w:rFonts w:cstheme="minorHAnsi"/>
          <w:color w:val="222222"/>
          <w:sz w:val="22"/>
          <w:szCs w:val="22"/>
        </w:rPr>
        <w:t xml:space="preserve"> </w:t>
      </w:r>
      <w:r w:rsidR="00CB4945">
        <w:rPr>
          <w:rFonts w:cstheme="minorHAnsi"/>
          <w:color w:val="222222"/>
          <w:sz w:val="22"/>
          <w:szCs w:val="22"/>
        </w:rPr>
        <w:t>2</w:t>
      </w:r>
      <w:r w:rsidR="00E308C5">
        <w:rPr>
          <w:rFonts w:cstheme="minorHAnsi"/>
          <w:color w:val="222222"/>
          <w:sz w:val="22"/>
          <w:szCs w:val="22"/>
        </w:rPr>
        <w:t>1</w:t>
      </w:r>
      <w:r w:rsidR="001A16FB" w:rsidRPr="00E74827">
        <w:rPr>
          <w:rFonts w:cstheme="minorHAnsi"/>
          <w:color w:val="222222"/>
          <w:sz w:val="22"/>
          <w:szCs w:val="22"/>
        </w:rPr>
        <w:t>/</w:t>
      </w:r>
      <w:r w:rsidR="00E308C5">
        <w:rPr>
          <w:rFonts w:cstheme="minorHAnsi"/>
          <w:color w:val="222222"/>
          <w:sz w:val="22"/>
          <w:szCs w:val="22"/>
        </w:rPr>
        <w:t>1</w:t>
      </w:r>
      <w:r w:rsidR="001A16FB" w:rsidRPr="00E74827">
        <w:rPr>
          <w:rFonts w:cstheme="minorHAnsi"/>
          <w:color w:val="222222"/>
          <w:sz w:val="22"/>
          <w:szCs w:val="22"/>
        </w:rPr>
        <w:t xml:space="preserve">0/2019, DOU </w:t>
      </w:r>
      <w:r w:rsidR="00CB4945">
        <w:rPr>
          <w:rFonts w:cstheme="minorHAnsi"/>
          <w:color w:val="222222"/>
          <w:sz w:val="22"/>
          <w:szCs w:val="22"/>
        </w:rPr>
        <w:t>2</w:t>
      </w:r>
      <w:r w:rsidR="00E308C5">
        <w:rPr>
          <w:rFonts w:cstheme="minorHAnsi"/>
          <w:color w:val="222222"/>
          <w:sz w:val="22"/>
          <w:szCs w:val="22"/>
        </w:rPr>
        <w:t>3</w:t>
      </w:r>
      <w:r w:rsidR="001A16FB" w:rsidRPr="00E74827">
        <w:rPr>
          <w:rFonts w:cstheme="minorHAnsi"/>
          <w:color w:val="222222"/>
          <w:sz w:val="22"/>
          <w:szCs w:val="22"/>
        </w:rPr>
        <w:t>/</w:t>
      </w:r>
      <w:r w:rsidR="00E308C5">
        <w:rPr>
          <w:rFonts w:cstheme="minorHAnsi"/>
          <w:color w:val="222222"/>
          <w:sz w:val="22"/>
          <w:szCs w:val="22"/>
        </w:rPr>
        <w:t>1</w:t>
      </w:r>
      <w:r w:rsidR="001A16FB" w:rsidRPr="00E74827">
        <w:rPr>
          <w:rFonts w:cstheme="minorHAnsi"/>
          <w:color w:val="222222"/>
          <w:sz w:val="22"/>
          <w:szCs w:val="22"/>
        </w:rPr>
        <w:t>0/2019).</w:t>
      </w:r>
    </w:p>
    <w:p w14:paraId="14A92209" w14:textId="77777777" w:rsidR="005C368A" w:rsidRDefault="005C368A" w:rsidP="001A16FB">
      <w:pPr>
        <w:shd w:val="clear" w:color="auto" w:fill="FFFFFF"/>
        <w:spacing w:after="0" w:line="240" w:lineRule="auto"/>
        <w:rPr>
          <w:sz w:val="22"/>
          <w:szCs w:val="22"/>
        </w:rPr>
      </w:pPr>
    </w:p>
    <w:p w14:paraId="7D051B9F" w14:textId="41A639E6" w:rsidR="005C368A" w:rsidRDefault="005C368A" w:rsidP="001A16FB">
      <w:pPr>
        <w:shd w:val="clear" w:color="auto" w:fill="FFFFFF"/>
        <w:spacing w:after="0" w:line="240" w:lineRule="auto"/>
        <w:rPr>
          <w:sz w:val="22"/>
          <w:szCs w:val="22"/>
        </w:rPr>
      </w:pPr>
    </w:p>
    <w:p w14:paraId="21080A98" w14:textId="4C8B1B1F" w:rsidR="00454CEC" w:rsidRDefault="00454CEC" w:rsidP="001A16FB">
      <w:pPr>
        <w:shd w:val="clear" w:color="auto" w:fill="FFFFFF"/>
        <w:spacing w:after="0" w:line="240" w:lineRule="auto"/>
        <w:rPr>
          <w:sz w:val="22"/>
          <w:szCs w:val="22"/>
        </w:rPr>
      </w:pPr>
    </w:p>
    <w:p w14:paraId="0F9C4D0E" w14:textId="7A44CEED" w:rsidR="00454CEC" w:rsidRDefault="00454CEC" w:rsidP="001A16FB">
      <w:pPr>
        <w:shd w:val="clear" w:color="auto" w:fill="FFFFFF"/>
        <w:spacing w:after="0" w:line="240" w:lineRule="auto"/>
        <w:rPr>
          <w:sz w:val="22"/>
          <w:szCs w:val="22"/>
        </w:rPr>
      </w:pPr>
    </w:p>
    <w:p w14:paraId="4874DC79" w14:textId="123D1F8C" w:rsidR="00E17235" w:rsidRPr="00446CD3" w:rsidRDefault="00686DE5" w:rsidP="00E17235">
      <w:pPr>
        <w:shd w:val="clear" w:color="auto" w:fill="FFFFFF"/>
        <w:spacing w:after="0" w:line="240" w:lineRule="auto"/>
        <w:rPr>
          <w:rFonts w:ascii="Calibri" w:eastAsia="Times New Roman" w:hAnsi="Calibri" w:cs="Times New Roman"/>
          <w:color w:val="222222"/>
          <w:sz w:val="22"/>
          <w:szCs w:val="22"/>
          <w:lang w:eastAsia="pt-BR"/>
        </w:rPr>
      </w:pPr>
      <w:r>
        <w:rPr>
          <w:rFonts w:ascii="Calibri" w:eastAsia="Times New Roman" w:hAnsi="Calibri" w:cs="Times New Roman"/>
          <w:b/>
          <w:bCs/>
          <w:color w:val="222222"/>
          <w:sz w:val="22"/>
          <w:szCs w:val="22"/>
          <w:lang w:eastAsia="pt-BR"/>
        </w:rPr>
        <w:t>VIDROS PARA USO EM ELETRODOMÉSTICOS</w:t>
      </w:r>
      <w:r w:rsidR="00E17235" w:rsidRPr="00446CD3">
        <w:rPr>
          <w:rFonts w:ascii="Calibri" w:eastAsia="Times New Roman" w:hAnsi="Calibri" w:cs="Times New Roman"/>
          <w:b/>
          <w:bCs/>
          <w:color w:val="222222"/>
          <w:sz w:val="22"/>
          <w:szCs w:val="22"/>
          <w:lang w:eastAsia="pt-BR"/>
        </w:rPr>
        <w:t> (NCM </w:t>
      </w:r>
      <w:r>
        <w:rPr>
          <w:rFonts w:ascii="Calibri" w:eastAsia="Times New Roman" w:hAnsi="Calibri" w:cs="Times New Roman"/>
          <w:b/>
          <w:bCs/>
          <w:color w:val="222222"/>
          <w:sz w:val="22"/>
          <w:szCs w:val="22"/>
          <w:lang w:eastAsia="pt-BR"/>
        </w:rPr>
        <w:t>7007.19.00</w:t>
      </w:r>
      <w:r w:rsidR="00E17235" w:rsidRPr="00446CD3">
        <w:rPr>
          <w:rFonts w:ascii="Calibri" w:eastAsia="Times New Roman" w:hAnsi="Calibri" w:cs="Times New Roman"/>
          <w:b/>
          <w:bCs/>
          <w:color w:val="222222"/>
          <w:sz w:val="22"/>
          <w:szCs w:val="22"/>
          <w:lang w:eastAsia="pt-BR"/>
        </w:rPr>
        <w:t>) - </w:t>
      </w:r>
      <w:r w:rsidR="00E17235" w:rsidRPr="00446CD3">
        <w:rPr>
          <w:rFonts w:ascii="Calibri" w:eastAsia="Times New Roman" w:hAnsi="Calibri" w:cs="Times New Roman"/>
          <w:color w:val="222222"/>
          <w:sz w:val="22"/>
          <w:szCs w:val="22"/>
          <w:lang w:eastAsia="pt-BR"/>
        </w:rPr>
        <w:t>A SECEX</w:t>
      </w:r>
      <w:r w:rsidR="003626B7" w:rsidRPr="003626B7">
        <w:rPr>
          <w:bCs/>
          <w:sz w:val="22"/>
          <w:szCs w:val="22"/>
        </w:rPr>
        <w:t xml:space="preserve"> </w:t>
      </w:r>
      <w:r w:rsidR="003626B7">
        <w:rPr>
          <w:bCs/>
          <w:sz w:val="22"/>
          <w:szCs w:val="22"/>
        </w:rPr>
        <w:t>divulgou os</w:t>
      </w:r>
      <w:r w:rsidR="003626B7" w:rsidRPr="000E2885">
        <w:rPr>
          <w:bCs/>
          <w:sz w:val="22"/>
          <w:szCs w:val="22"/>
        </w:rPr>
        <w:t xml:space="preserve"> prazos que servirão de parâmetro para o restante da revisão, iniciada p</w:t>
      </w:r>
      <w:r w:rsidR="008A6A6A">
        <w:rPr>
          <w:bCs/>
          <w:sz w:val="22"/>
          <w:szCs w:val="22"/>
        </w:rPr>
        <w:t>ela</w:t>
      </w:r>
      <w:r w:rsidR="003626B7" w:rsidRPr="000E2885">
        <w:rPr>
          <w:bCs/>
          <w:sz w:val="22"/>
          <w:szCs w:val="22"/>
        </w:rPr>
        <w:t xml:space="preserve"> Circular SECEX n</w:t>
      </w:r>
      <w:r w:rsidR="008A6A6A">
        <w:rPr>
          <w:bCs/>
          <w:sz w:val="22"/>
          <w:szCs w:val="22"/>
        </w:rPr>
        <w:t>°</w:t>
      </w:r>
      <w:r w:rsidR="003626B7" w:rsidRPr="000E2885">
        <w:rPr>
          <w:bCs/>
          <w:sz w:val="22"/>
          <w:szCs w:val="22"/>
        </w:rPr>
        <w:t xml:space="preserve"> 40, de 2019</w:t>
      </w:r>
      <w:r w:rsidR="008A6A6A">
        <w:rPr>
          <w:bCs/>
          <w:sz w:val="22"/>
          <w:szCs w:val="22"/>
        </w:rPr>
        <w:t xml:space="preserve">, </w:t>
      </w:r>
      <w:r w:rsidR="00B54526">
        <w:rPr>
          <w:bCs/>
          <w:sz w:val="22"/>
          <w:szCs w:val="22"/>
        </w:rPr>
        <w:t>da</w:t>
      </w:r>
      <w:r w:rsidR="00110044" w:rsidRPr="000E2885">
        <w:rPr>
          <w:bCs/>
          <w:sz w:val="22"/>
          <w:szCs w:val="22"/>
        </w:rPr>
        <w:t xml:space="preserve"> medida antidumping instituída pela Resolução CAMEX nº 46, de </w:t>
      </w:r>
      <w:r w:rsidR="00B54526">
        <w:rPr>
          <w:bCs/>
          <w:sz w:val="22"/>
          <w:szCs w:val="22"/>
        </w:rPr>
        <w:t>2014</w:t>
      </w:r>
      <w:r w:rsidR="00110044" w:rsidRPr="000E2885">
        <w:rPr>
          <w:bCs/>
          <w:sz w:val="22"/>
          <w:szCs w:val="22"/>
        </w:rPr>
        <w:t xml:space="preserve">, aplicada às importações de vidros para uso em eletrodomésticos da linha fria, </w:t>
      </w:r>
      <w:r w:rsidR="00B54526">
        <w:rPr>
          <w:bCs/>
          <w:sz w:val="22"/>
          <w:szCs w:val="22"/>
        </w:rPr>
        <w:t>NCM</w:t>
      </w:r>
      <w:r w:rsidR="00110044" w:rsidRPr="000E2885">
        <w:rPr>
          <w:bCs/>
          <w:sz w:val="22"/>
          <w:szCs w:val="22"/>
        </w:rPr>
        <w:t xml:space="preserve"> 7007.19.00</w:t>
      </w:r>
      <w:r w:rsidR="00B54526">
        <w:rPr>
          <w:bCs/>
          <w:sz w:val="22"/>
          <w:szCs w:val="22"/>
        </w:rPr>
        <w:t>,</w:t>
      </w:r>
      <w:r w:rsidR="00110044" w:rsidRPr="000E2885">
        <w:rPr>
          <w:bCs/>
          <w:sz w:val="22"/>
          <w:szCs w:val="22"/>
        </w:rPr>
        <w:t xml:space="preserve"> originárias da China</w:t>
      </w:r>
      <w:r w:rsidR="00B54526">
        <w:rPr>
          <w:bCs/>
          <w:sz w:val="22"/>
          <w:szCs w:val="22"/>
        </w:rPr>
        <w:t>, conforme tabela abaixo</w:t>
      </w:r>
      <w:r w:rsidR="00F773E1">
        <w:rPr>
          <w:bCs/>
          <w:sz w:val="22"/>
          <w:szCs w:val="22"/>
        </w:rPr>
        <w:t xml:space="preserve">. No mesmo ato, iniciou </w:t>
      </w:r>
      <w:r w:rsidR="00F773E1" w:rsidRPr="000E2885">
        <w:rPr>
          <w:bCs/>
          <w:sz w:val="22"/>
          <w:szCs w:val="22"/>
        </w:rPr>
        <w:t>avaliação de interesse público referente à medida</w:t>
      </w:r>
      <w:r w:rsidR="003322D8">
        <w:rPr>
          <w:bCs/>
          <w:sz w:val="22"/>
          <w:szCs w:val="22"/>
        </w:rPr>
        <w:t>.</w:t>
      </w:r>
      <w:r w:rsidR="009140B3">
        <w:rPr>
          <w:bCs/>
          <w:sz w:val="22"/>
          <w:szCs w:val="22"/>
        </w:rPr>
        <w:t xml:space="preserve">  </w:t>
      </w:r>
      <w:r w:rsidR="00E17235" w:rsidRPr="00446CD3">
        <w:rPr>
          <w:rFonts w:ascii="Calibri" w:eastAsia="Times New Roman" w:hAnsi="Calibri" w:cs="Times New Roman"/>
          <w:color w:val="222222"/>
          <w:sz w:val="22"/>
          <w:szCs w:val="22"/>
          <w:lang w:eastAsia="pt-BR"/>
        </w:rPr>
        <w:t>A mercadoria segue sujeita a licenciamento automático, com controle d</w:t>
      </w:r>
      <w:r w:rsidR="00E17235">
        <w:rPr>
          <w:rFonts w:ascii="Calibri" w:eastAsia="Times New Roman" w:hAnsi="Calibri" w:cs="Times New Roman"/>
          <w:color w:val="222222"/>
          <w:sz w:val="22"/>
          <w:szCs w:val="22"/>
          <w:lang w:eastAsia="pt-BR"/>
        </w:rPr>
        <w:t>a</w:t>
      </w:r>
      <w:r w:rsidR="00E17235" w:rsidRPr="00446CD3">
        <w:rPr>
          <w:rFonts w:ascii="Calibri" w:eastAsia="Times New Roman" w:hAnsi="Calibri" w:cs="Times New Roman"/>
          <w:color w:val="222222"/>
          <w:sz w:val="22"/>
          <w:szCs w:val="22"/>
          <w:lang w:eastAsia="pt-BR"/>
        </w:rPr>
        <w:t xml:space="preserve"> </w:t>
      </w:r>
      <w:r w:rsidR="00E17235">
        <w:rPr>
          <w:rFonts w:ascii="Calibri" w:eastAsia="Times New Roman" w:hAnsi="Calibri" w:cs="Times New Roman"/>
          <w:color w:val="222222"/>
          <w:sz w:val="22"/>
          <w:szCs w:val="22"/>
          <w:lang w:eastAsia="pt-BR"/>
        </w:rPr>
        <w:t>S</w:t>
      </w:r>
      <w:r w:rsidR="00E17235" w:rsidRPr="00446CD3">
        <w:rPr>
          <w:rFonts w:ascii="Calibri" w:eastAsia="Times New Roman" w:hAnsi="Calibri" w:cs="Times New Roman"/>
          <w:color w:val="222222"/>
          <w:sz w:val="22"/>
          <w:szCs w:val="22"/>
          <w:lang w:eastAsia="pt-BR"/>
        </w:rPr>
        <w:t xml:space="preserve">ECEX, desde </w:t>
      </w:r>
      <w:r w:rsidR="004142AA">
        <w:rPr>
          <w:rFonts w:ascii="Calibri" w:eastAsia="Times New Roman" w:hAnsi="Calibri" w:cs="Times New Roman"/>
          <w:color w:val="222222"/>
          <w:sz w:val="22"/>
          <w:szCs w:val="22"/>
          <w:lang w:eastAsia="pt-BR"/>
        </w:rPr>
        <w:t>25</w:t>
      </w:r>
      <w:r w:rsidR="00E17235" w:rsidRPr="00446CD3">
        <w:rPr>
          <w:rFonts w:ascii="Calibri" w:eastAsia="Times New Roman" w:hAnsi="Calibri" w:cs="Times New Roman"/>
          <w:color w:val="222222"/>
          <w:sz w:val="22"/>
          <w:szCs w:val="22"/>
          <w:lang w:eastAsia="pt-BR"/>
        </w:rPr>
        <w:t>/</w:t>
      </w:r>
      <w:r w:rsidR="004142AA">
        <w:rPr>
          <w:rFonts w:ascii="Calibri" w:eastAsia="Times New Roman" w:hAnsi="Calibri" w:cs="Times New Roman"/>
          <w:color w:val="222222"/>
          <w:sz w:val="22"/>
          <w:szCs w:val="22"/>
          <w:lang w:eastAsia="pt-BR"/>
        </w:rPr>
        <w:t>7</w:t>
      </w:r>
      <w:r w:rsidR="00E17235" w:rsidRPr="00446CD3">
        <w:rPr>
          <w:rFonts w:ascii="Calibri" w:eastAsia="Times New Roman" w:hAnsi="Calibri" w:cs="Times New Roman"/>
          <w:color w:val="222222"/>
          <w:sz w:val="22"/>
          <w:szCs w:val="22"/>
          <w:lang w:eastAsia="pt-BR"/>
        </w:rPr>
        <w:t>/201</w:t>
      </w:r>
      <w:r w:rsidR="004142AA">
        <w:rPr>
          <w:rFonts w:ascii="Calibri" w:eastAsia="Times New Roman" w:hAnsi="Calibri" w:cs="Times New Roman"/>
          <w:color w:val="222222"/>
          <w:sz w:val="22"/>
          <w:szCs w:val="22"/>
          <w:lang w:eastAsia="pt-BR"/>
        </w:rPr>
        <w:t>4</w:t>
      </w:r>
      <w:r w:rsidR="00E17235">
        <w:rPr>
          <w:rFonts w:ascii="Calibri" w:eastAsia="Times New Roman" w:hAnsi="Calibri" w:cs="Times New Roman"/>
          <w:color w:val="222222"/>
          <w:sz w:val="22"/>
          <w:szCs w:val="22"/>
          <w:lang w:eastAsia="pt-BR"/>
        </w:rPr>
        <w:t>, e sob destaque</w:t>
      </w:r>
      <w:r w:rsidR="004142AA">
        <w:rPr>
          <w:rFonts w:ascii="Calibri" w:eastAsia="Times New Roman" w:hAnsi="Calibri" w:cs="Times New Roman"/>
          <w:color w:val="222222"/>
          <w:sz w:val="22"/>
          <w:szCs w:val="22"/>
          <w:lang w:eastAsia="pt-BR"/>
        </w:rPr>
        <w:t>, com licenciamento não automático</w:t>
      </w:r>
      <w:r w:rsidR="00C05039">
        <w:rPr>
          <w:rFonts w:ascii="Calibri" w:eastAsia="Times New Roman" w:hAnsi="Calibri" w:cs="Times New Roman"/>
          <w:color w:val="222222"/>
          <w:sz w:val="22"/>
          <w:szCs w:val="22"/>
          <w:lang w:eastAsia="pt-BR"/>
        </w:rPr>
        <w:t xml:space="preserve"> do Comando do Exército e da SECEX</w:t>
      </w:r>
      <w:r w:rsidR="00E17235" w:rsidRPr="00446CD3">
        <w:rPr>
          <w:rFonts w:ascii="Calibri" w:eastAsia="Times New Roman" w:hAnsi="Calibri" w:cs="Times New Roman"/>
          <w:color w:val="222222"/>
          <w:sz w:val="22"/>
          <w:szCs w:val="22"/>
          <w:lang w:eastAsia="pt-BR"/>
        </w:rPr>
        <w:t>. (Circular Secex nº </w:t>
      </w:r>
      <w:r w:rsidR="00F60D00">
        <w:rPr>
          <w:rFonts w:ascii="Calibri" w:eastAsia="Times New Roman" w:hAnsi="Calibri" w:cs="Times New Roman"/>
          <w:color w:val="222222"/>
          <w:sz w:val="22"/>
          <w:szCs w:val="22"/>
          <w:lang w:eastAsia="pt-BR"/>
        </w:rPr>
        <w:t>60</w:t>
      </w:r>
      <w:r w:rsidR="00E17235" w:rsidRPr="00446CD3">
        <w:rPr>
          <w:rFonts w:ascii="Calibri" w:eastAsia="Times New Roman" w:hAnsi="Calibri" w:cs="Times New Roman"/>
          <w:color w:val="222222"/>
          <w:sz w:val="22"/>
          <w:szCs w:val="22"/>
          <w:lang w:eastAsia="pt-BR"/>
        </w:rPr>
        <w:t>, de </w:t>
      </w:r>
      <w:r w:rsidR="00E17235" w:rsidRPr="005F79A1">
        <w:rPr>
          <w:rFonts w:ascii="Calibri" w:eastAsia="Times New Roman" w:hAnsi="Calibri" w:cs="Times New Roman"/>
          <w:color w:val="222222"/>
          <w:sz w:val="22"/>
          <w:szCs w:val="22"/>
          <w:lang w:eastAsia="pt-BR"/>
        </w:rPr>
        <w:t>2</w:t>
      </w:r>
      <w:r w:rsidR="00E17235">
        <w:rPr>
          <w:rFonts w:ascii="Calibri" w:eastAsia="Times New Roman" w:hAnsi="Calibri" w:cs="Times New Roman"/>
          <w:color w:val="222222"/>
          <w:sz w:val="22"/>
          <w:szCs w:val="22"/>
          <w:lang w:eastAsia="pt-BR"/>
        </w:rPr>
        <w:t>4</w:t>
      </w:r>
      <w:r w:rsidR="00E17235" w:rsidRPr="00446CD3">
        <w:rPr>
          <w:rFonts w:ascii="Calibri" w:eastAsia="Times New Roman" w:hAnsi="Calibri" w:cs="Times New Roman"/>
          <w:color w:val="222222"/>
          <w:sz w:val="22"/>
          <w:szCs w:val="22"/>
          <w:lang w:eastAsia="pt-BR"/>
        </w:rPr>
        <w:t>/</w:t>
      </w:r>
      <w:r w:rsidR="00F60D00">
        <w:rPr>
          <w:rFonts w:ascii="Calibri" w:eastAsia="Times New Roman" w:hAnsi="Calibri" w:cs="Times New Roman"/>
          <w:color w:val="222222"/>
          <w:sz w:val="22"/>
          <w:szCs w:val="22"/>
          <w:lang w:eastAsia="pt-BR"/>
        </w:rPr>
        <w:t>1</w:t>
      </w:r>
      <w:r w:rsidR="00E17235" w:rsidRPr="00446CD3">
        <w:rPr>
          <w:rFonts w:ascii="Calibri" w:eastAsia="Times New Roman" w:hAnsi="Calibri" w:cs="Times New Roman"/>
          <w:color w:val="222222"/>
          <w:sz w:val="22"/>
          <w:szCs w:val="22"/>
          <w:lang w:eastAsia="pt-BR"/>
        </w:rPr>
        <w:t>0/2019, DOU </w:t>
      </w:r>
      <w:r w:rsidR="00E17235">
        <w:rPr>
          <w:rFonts w:ascii="Calibri" w:eastAsia="Times New Roman" w:hAnsi="Calibri" w:cs="Times New Roman"/>
          <w:color w:val="222222"/>
          <w:sz w:val="22"/>
          <w:szCs w:val="22"/>
          <w:lang w:eastAsia="pt-BR"/>
        </w:rPr>
        <w:t>25</w:t>
      </w:r>
      <w:r w:rsidR="00E17235" w:rsidRPr="00446CD3">
        <w:rPr>
          <w:rFonts w:ascii="Calibri" w:eastAsia="Times New Roman" w:hAnsi="Calibri" w:cs="Times New Roman"/>
          <w:color w:val="222222"/>
          <w:sz w:val="22"/>
          <w:szCs w:val="22"/>
          <w:lang w:eastAsia="pt-BR"/>
        </w:rPr>
        <w:t>/</w:t>
      </w:r>
      <w:r w:rsidR="00F60D00">
        <w:rPr>
          <w:rFonts w:ascii="Calibri" w:eastAsia="Times New Roman" w:hAnsi="Calibri" w:cs="Times New Roman"/>
          <w:color w:val="222222"/>
          <w:sz w:val="22"/>
          <w:szCs w:val="22"/>
          <w:lang w:eastAsia="pt-BR"/>
        </w:rPr>
        <w:t>1</w:t>
      </w:r>
      <w:r w:rsidR="00E17235" w:rsidRPr="00446CD3">
        <w:rPr>
          <w:rFonts w:ascii="Calibri" w:eastAsia="Times New Roman" w:hAnsi="Calibri" w:cs="Times New Roman"/>
          <w:color w:val="222222"/>
          <w:sz w:val="22"/>
          <w:szCs w:val="22"/>
          <w:lang w:eastAsia="pt-BR"/>
        </w:rPr>
        <w:t>0/2019):</w:t>
      </w:r>
    </w:p>
    <w:p w14:paraId="463AFAC1" w14:textId="77777777" w:rsidR="00E17235" w:rsidRPr="00446CD3" w:rsidRDefault="00E17235" w:rsidP="00E17235">
      <w:pPr>
        <w:shd w:val="clear" w:color="auto" w:fill="FFFFFF"/>
        <w:spacing w:after="0" w:line="240" w:lineRule="auto"/>
        <w:jc w:val="left"/>
        <w:rPr>
          <w:rFonts w:ascii="Calibri" w:eastAsia="Times New Roman" w:hAnsi="Calibri" w:cs="Times New Roman"/>
          <w:color w:val="222222"/>
          <w:sz w:val="22"/>
          <w:szCs w:val="22"/>
          <w:lang w:eastAsia="pt-BR"/>
        </w:rPr>
      </w:pPr>
      <w:r w:rsidRPr="00446CD3">
        <w:rPr>
          <w:rFonts w:ascii="Arial" w:eastAsia="Times New Roman" w:hAnsi="Arial" w:cs="Arial"/>
          <w:color w:val="222222"/>
          <w:sz w:val="22"/>
          <w:szCs w:val="22"/>
          <w:lang w:eastAsia="pt-BR"/>
        </w:rPr>
        <w:t> </w:t>
      </w:r>
    </w:p>
    <w:tbl>
      <w:tblPr>
        <w:tblW w:w="85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4"/>
        <w:gridCol w:w="5618"/>
        <w:gridCol w:w="1152"/>
      </w:tblGrid>
      <w:tr w:rsidR="006026FF" w:rsidRPr="005F79A1" w14:paraId="09D67C32" w14:textId="77777777" w:rsidTr="00503A90">
        <w:tc>
          <w:tcPr>
            <w:tcW w:w="0" w:type="auto"/>
            <w:tcMar>
              <w:top w:w="45" w:type="dxa"/>
              <w:left w:w="45" w:type="dxa"/>
              <w:bottom w:w="45" w:type="dxa"/>
              <w:right w:w="45" w:type="dxa"/>
            </w:tcMar>
            <w:vAlign w:val="center"/>
            <w:hideMark/>
          </w:tcPr>
          <w:p w14:paraId="5FB28E0F" w14:textId="77777777" w:rsidR="00E17235" w:rsidRPr="005F79A1" w:rsidRDefault="00E17235" w:rsidP="00503A90">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lastRenderedPageBreak/>
              <w:t>Disposição legal</w:t>
            </w:r>
          </w:p>
          <w:p w14:paraId="6000CE62" w14:textId="77777777" w:rsidR="00E17235" w:rsidRPr="005F79A1" w:rsidRDefault="00E17235" w:rsidP="00503A90">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Decreto n </w:t>
            </w:r>
            <w:r w:rsidRPr="005F79A1">
              <w:rPr>
                <w:rFonts w:asciiTheme="minorHAnsi" w:hAnsiTheme="minorHAnsi"/>
                <w:sz w:val="22"/>
                <w:szCs w:val="22"/>
                <w:u w:val="single"/>
              </w:rPr>
              <w:t>o</w:t>
            </w:r>
            <w:r w:rsidRPr="005F79A1">
              <w:rPr>
                <w:rFonts w:asciiTheme="minorHAnsi" w:hAnsiTheme="minorHAnsi"/>
                <w:sz w:val="22"/>
                <w:szCs w:val="22"/>
              </w:rPr>
              <w:t> 8.058/2013</w:t>
            </w:r>
          </w:p>
        </w:tc>
        <w:tc>
          <w:tcPr>
            <w:tcW w:w="0" w:type="auto"/>
            <w:tcMar>
              <w:top w:w="45" w:type="dxa"/>
              <w:left w:w="45" w:type="dxa"/>
              <w:bottom w:w="45" w:type="dxa"/>
              <w:right w:w="45" w:type="dxa"/>
            </w:tcMar>
            <w:vAlign w:val="center"/>
            <w:hideMark/>
          </w:tcPr>
          <w:p w14:paraId="19FA65E3" w14:textId="77777777" w:rsidR="00E17235" w:rsidRPr="005F79A1" w:rsidRDefault="00E17235" w:rsidP="00503A90">
            <w:pPr>
              <w:pStyle w:val="dou-paragraph"/>
              <w:spacing w:before="0" w:beforeAutospacing="0" w:after="0" w:afterAutospacing="0"/>
              <w:jc w:val="center"/>
              <w:rPr>
                <w:rFonts w:asciiTheme="minorHAnsi" w:hAnsiTheme="minorHAnsi"/>
                <w:sz w:val="22"/>
                <w:szCs w:val="22"/>
              </w:rPr>
            </w:pPr>
            <w:r w:rsidRPr="005F79A1">
              <w:rPr>
                <w:rFonts w:asciiTheme="minorHAnsi" w:hAnsiTheme="minorHAnsi"/>
                <w:sz w:val="22"/>
                <w:szCs w:val="22"/>
              </w:rPr>
              <w:t>Atividades</w:t>
            </w:r>
          </w:p>
        </w:tc>
        <w:tc>
          <w:tcPr>
            <w:tcW w:w="0" w:type="auto"/>
            <w:tcMar>
              <w:top w:w="45" w:type="dxa"/>
              <w:left w:w="45" w:type="dxa"/>
              <w:bottom w:w="45" w:type="dxa"/>
              <w:right w:w="45" w:type="dxa"/>
            </w:tcMar>
            <w:vAlign w:val="center"/>
            <w:hideMark/>
          </w:tcPr>
          <w:p w14:paraId="3623789A" w14:textId="77777777" w:rsidR="00E17235" w:rsidRPr="005F79A1" w:rsidRDefault="00E17235" w:rsidP="00503A90">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Prazos</w:t>
            </w:r>
          </w:p>
        </w:tc>
      </w:tr>
      <w:tr w:rsidR="006026FF" w:rsidRPr="005F79A1" w14:paraId="1D7FB791" w14:textId="77777777" w:rsidTr="00503A90">
        <w:tc>
          <w:tcPr>
            <w:tcW w:w="0" w:type="auto"/>
            <w:tcMar>
              <w:top w:w="45" w:type="dxa"/>
              <w:left w:w="45" w:type="dxa"/>
              <w:bottom w:w="45" w:type="dxa"/>
              <w:right w:w="45" w:type="dxa"/>
            </w:tcMar>
            <w:vAlign w:val="center"/>
            <w:hideMark/>
          </w:tcPr>
          <w:p w14:paraId="04675240" w14:textId="77777777" w:rsidR="00E17235" w:rsidRPr="005F79A1" w:rsidRDefault="00E17235" w:rsidP="00503A90">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59</w:t>
            </w:r>
          </w:p>
        </w:tc>
        <w:tc>
          <w:tcPr>
            <w:tcW w:w="0" w:type="auto"/>
            <w:tcMar>
              <w:top w:w="45" w:type="dxa"/>
              <w:left w:w="45" w:type="dxa"/>
              <w:bottom w:w="45" w:type="dxa"/>
              <w:right w:w="45" w:type="dxa"/>
            </w:tcMar>
            <w:vAlign w:val="center"/>
            <w:hideMark/>
          </w:tcPr>
          <w:p w14:paraId="0ACB0AB0" w14:textId="77777777" w:rsidR="00E17235" w:rsidRPr="005F79A1" w:rsidRDefault="00E17235" w:rsidP="00503A90">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Encerramento da fase probatória da revisão.</w:t>
            </w:r>
          </w:p>
        </w:tc>
        <w:tc>
          <w:tcPr>
            <w:tcW w:w="0" w:type="auto"/>
            <w:tcMar>
              <w:top w:w="45" w:type="dxa"/>
              <w:left w:w="45" w:type="dxa"/>
              <w:bottom w:w="45" w:type="dxa"/>
              <w:right w:w="45" w:type="dxa"/>
            </w:tcMar>
            <w:vAlign w:val="center"/>
          </w:tcPr>
          <w:p w14:paraId="2A65C693" w14:textId="34D88617" w:rsidR="00E17235" w:rsidRPr="005F79A1" w:rsidRDefault="006026FF" w:rsidP="00503A90">
            <w:pPr>
              <w:pStyle w:val="dou-paragraph"/>
              <w:spacing w:before="0" w:beforeAutospacing="0" w:after="0" w:afterAutospacing="0"/>
              <w:rPr>
                <w:rFonts w:asciiTheme="minorHAnsi" w:hAnsiTheme="minorHAnsi"/>
                <w:sz w:val="22"/>
                <w:szCs w:val="22"/>
              </w:rPr>
            </w:pPr>
            <w:r>
              <w:rPr>
                <w:rFonts w:asciiTheme="minorHAnsi" w:hAnsiTheme="minorHAnsi"/>
                <w:sz w:val="22"/>
                <w:szCs w:val="22"/>
              </w:rPr>
              <w:t>1</w:t>
            </w:r>
            <w:r w:rsidR="00E17235">
              <w:rPr>
                <w:rFonts w:asciiTheme="minorHAnsi" w:hAnsiTheme="minorHAnsi"/>
                <w:sz w:val="22"/>
                <w:szCs w:val="22"/>
              </w:rPr>
              <w:t>0</w:t>
            </w:r>
            <w:r w:rsidR="00E17235" w:rsidRPr="005F79A1">
              <w:rPr>
                <w:rFonts w:asciiTheme="minorHAnsi" w:hAnsiTheme="minorHAnsi"/>
                <w:sz w:val="22"/>
                <w:szCs w:val="22"/>
              </w:rPr>
              <w:t>/</w:t>
            </w:r>
            <w:r>
              <w:rPr>
                <w:rFonts w:asciiTheme="minorHAnsi" w:hAnsiTheme="minorHAnsi"/>
                <w:sz w:val="22"/>
                <w:szCs w:val="22"/>
              </w:rPr>
              <w:t>0</w:t>
            </w:r>
            <w:r w:rsidR="00E17235">
              <w:rPr>
                <w:rFonts w:asciiTheme="minorHAnsi" w:hAnsiTheme="minorHAnsi"/>
                <w:sz w:val="22"/>
                <w:szCs w:val="22"/>
              </w:rPr>
              <w:t>1</w:t>
            </w:r>
            <w:r w:rsidR="00E17235" w:rsidRPr="005F79A1">
              <w:rPr>
                <w:rFonts w:asciiTheme="minorHAnsi" w:hAnsiTheme="minorHAnsi"/>
                <w:sz w:val="22"/>
                <w:szCs w:val="22"/>
              </w:rPr>
              <w:t>/20</w:t>
            </w:r>
            <w:r>
              <w:rPr>
                <w:rFonts w:asciiTheme="minorHAnsi" w:hAnsiTheme="minorHAnsi"/>
                <w:sz w:val="22"/>
                <w:szCs w:val="22"/>
              </w:rPr>
              <w:t>20</w:t>
            </w:r>
          </w:p>
        </w:tc>
      </w:tr>
      <w:tr w:rsidR="006026FF" w:rsidRPr="005F79A1" w14:paraId="4A4499B6" w14:textId="77777777" w:rsidTr="00503A90">
        <w:tc>
          <w:tcPr>
            <w:tcW w:w="0" w:type="auto"/>
            <w:tcMar>
              <w:top w:w="45" w:type="dxa"/>
              <w:left w:w="45" w:type="dxa"/>
              <w:bottom w:w="45" w:type="dxa"/>
              <w:right w:w="45" w:type="dxa"/>
            </w:tcMar>
            <w:vAlign w:val="center"/>
            <w:hideMark/>
          </w:tcPr>
          <w:p w14:paraId="47B1F810" w14:textId="77777777" w:rsidR="00E17235" w:rsidRPr="005F79A1" w:rsidRDefault="00E17235" w:rsidP="00503A90">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60</w:t>
            </w:r>
          </w:p>
        </w:tc>
        <w:tc>
          <w:tcPr>
            <w:tcW w:w="0" w:type="auto"/>
            <w:tcMar>
              <w:top w:w="45" w:type="dxa"/>
              <w:left w:w="45" w:type="dxa"/>
              <w:bottom w:w="45" w:type="dxa"/>
              <w:right w:w="45" w:type="dxa"/>
            </w:tcMar>
            <w:vAlign w:val="center"/>
            <w:hideMark/>
          </w:tcPr>
          <w:p w14:paraId="1186551B" w14:textId="77777777" w:rsidR="00E17235" w:rsidRPr="005F79A1" w:rsidRDefault="00E17235" w:rsidP="00503A90">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Encerramento da fase de manifestação sobre os dados e as informações constantes dos autos.</w:t>
            </w:r>
          </w:p>
        </w:tc>
        <w:tc>
          <w:tcPr>
            <w:tcW w:w="0" w:type="auto"/>
            <w:tcMar>
              <w:top w:w="45" w:type="dxa"/>
              <w:left w:w="45" w:type="dxa"/>
              <w:bottom w:w="45" w:type="dxa"/>
              <w:right w:w="45" w:type="dxa"/>
            </w:tcMar>
            <w:vAlign w:val="center"/>
          </w:tcPr>
          <w:p w14:paraId="697BB7BC" w14:textId="39C5AFEA" w:rsidR="00E17235" w:rsidRPr="005F79A1" w:rsidRDefault="006026FF" w:rsidP="00503A90">
            <w:pPr>
              <w:pStyle w:val="dou-paragraph"/>
              <w:spacing w:before="0" w:beforeAutospacing="0" w:after="0" w:afterAutospacing="0"/>
              <w:rPr>
                <w:rFonts w:asciiTheme="minorHAnsi" w:hAnsiTheme="minorHAnsi"/>
                <w:sz w:val="22"/>
                <w:szCs w:val="22"/>
              </w:rPr>
            </w:pPr>
            <w:r>
              <w:rPr>
                <w:rFonts w:asciiTheme="minorHAnsi" w:hAnsiTheme="minorHAnsi"/>
                <w:sz w:val="22"/>
                <w:szCs w:val="22"/>
              </w:rPr>
              <w:t>30</w:t>
            </w:r>
            <w:r w:rsidR="00E17235" w:rsidRPr="005F79A1">
              <w:rPr>
                <w:rFonts w:asciiTheme="minorHAnsi" w:hAnsiTheme="minorHAnsi"/>
                <w:sz w:val="22"/>
                <w:szCs w:val="22"/>
              </w:rPr>
              <w:t>/</w:t>
            </w:r>
            <w:r>
              <w:rPr>
                <w:rFonts w:asciiTheme="minorHAnsi" w:hAnsiTheme="minorHAnsi"/>
                <w:sz w:val="22"/>
                <w:szCs w:val="22"/>
              </w:rPr>
              <w:t>01/</w:t>
            </w:r>
            <w:r w:rsidR="00E17235" w:rsidRPr="005F79A1">
              <w:rPr>
                <w:rFonts w:asciiTheme="minorHAnsi" w:hAnsiTheme="minorHAnsi"/>
                <w:sz w:val="22"/>
                <w:szCs w:val="22"/>
              </w:rPr>
              <w:t>20</w:t>
            </w:r>
            <w:r>
              <w:rPr>
                <w:rFonts w:asciiTheme="minorHAnsi" w:hAnsiTheme="minorHAnsi"/>
                <w:sz w:val="22"/>
                <w:szCs w:val="22"/>
              </w:rPr>
              <w:t>20</w:t>
            </w:r>
          </w:p>
        </w:tc>
      </w:tr>
      <w:tr w:rsidR="006026FF" w:rsidRPr="005F79A1" w14:paraId="4E2AC24D" w14:textId="77777777" w:rsidTr="00503A90">
        <w:tc>
          <w:tcPr>
            <w:tcW w:w="0" w:type="auto"/>
            <w:tcMar>
              <w:top w:w="45" w:type="dxa"/>
              <w:left w:w="45" w:type="dxa"/>
              <w:bottom w:w="45" w:type="dxa"/>
              <w:right w:w="45" w:type="dxa"/>
            </w:tcMar>
            <w:vAlign w:val="center"/>
            <w:hideMark/>
          </w:tcPr>
          <w:p w14:paraId="44C9C2F8" w14:textId="77777777" w:rsidR="00E17235" w:rsidRPr="005F79A1" w:rsidRDefault="00E17235" w:rsidP="00503A90">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61</w:t>
            </w:r>
          </w:p>
        </w:tc>
        <w:tc>
          <w:tcPr>
            <w:tcW w:w="0" w:type="auto"/>
            <w:tcMar>
              <w:top w:w="45" w:type="dxa"/>
              <w:left w:w="45" w:type="dxa"/>
              <w:bottom w:w="45" w:type="dxa"/>
              <w:right w:w="45" w:type="dxa"/>
            </w:tcMar>
            <w:vAlign w:val="center"/>
            <w:hideMark/>
          </w:tcPr>
          <w:p w14:paraId="0B49747F" w14:textId="77777777" w:rsidR="00E17235" w:rsidRPr="005F79A1" w:rsidRDefault="00E17235" w:rsidP="00503A90">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Divulgação da nota técnica contendo os fatos essenciais que se encontram em análise e que serão considerados na determinação final.</w:t>
            </w:r>
          </w:p>
        </w:tc>
        <w:tc>
          <w:tcPr>
            <w:tcW w:w="0" w:type="auto"/>
            <w:tcMar>
              <w:top w:w="45" w:type="dxa"/>
              <w:left w:w="45" w:type="dxa"/>
              <w:bottom w:w="45" w:type="dxa"/>
              <w:right w:w="45" w:type="dxa"/>
            </w:tcMar>
            <w:vAlign w:val="center"/>
          </w:tcPr>
          <w:p w14:paraId="1C06DBCB" w14:textId="36AD950B" w:rsidR="00E17235" w:rsidRPr="005F79A1" w:rsidRDefault="006026FF" w:rsidP="00503A90">
            <w:pPr>
              <w:pStyle w:val="dou-paragraph"/>
              <w:spacing w:before="0" w:beforeAutospacing="0" w:after="0" w:afterAutospacing="0"/>
              <w:rPr>
                <w:rFonts w:asciiTheme="minorHAnsi" w:hAnsiTheme="minorHAnsi"/>
                <w:sz w:val="22"/>
                <w:szCs w:val="22"/>
              </w:rPr>
            </w:pPr>
            <w:r>
              <w:rPr>
                <w:rFonts w:asciiTheme="minorHAnsi" w:hAnsiTheme="minorHAnsi"/>
                <w:sz w:val="22"/>
                <w:szCs w:val="22"/>
              </w:rPr>
              <w:t>02</w:t>
            </w:r>
            <w:r w:rsidR="00E17235" w:rsidRPr="005F79A1">
              <w:rPr>
                <w:rFonts w:asciiTheme="minorHAnsi" w:hAnsiTheme="minorHAnsi"/>
                <w:sz w:val="22"/>
                <w:szCs w:val="22"/>
              </w:rPr>
              <w:t>/</w:t>
            </w:r>
            <w:r>
              <w:rPr>
                <w:rFonts w:asciiTheme="minorHAnsi" w:hAnsiTheme="minorHAnsi"/>
                <w:sz w:val="22"/>
                <w:szCs w:val="22"/>
              </w:rPr>
              <w:t>03</w:t>
            </w:r>
            <w:r w:rsidR="00E17235" w:rsidRPr="005F79A1">
              <w:rPr>
                <w:rFonts w:asciiTheme="minorHAnsi" w:hAnsiTheme="minorHAnsi"/>
                <w:sz w:val="22"/>
                <w:szCs w:val="22"/>
              </w:rPr>
              <w:t>/20</w:t>
            </w:r>
            <w:r>
              <w:rPr>
                <w:rFonts w:asciiTheme="minorHAnsi" w:hAnsiTheme="minorHAnsi"/>
                <w:sz w:val="22"/>
                <w:szCs w:val="22"/>
              </w:rPr>
              <w:t>20</w:t>
            </w:r>
          </w:p>
        </w:tc>
      </w:tr>
      <w:tr w:rsidR="006026FF" w:rsidRPr="005F79A1" w14:paraId="4946F120" w14:textId="77777777" w:rsidTr="00503A90">
        <w:tc>
          <w:tcPr>
            <w:tcW w:w="0" w:type="auto"/>
            <w:tcMar>
              <w:top w:w="45" w:type="dxa"/>
              <w:left w:w="45" w:type="dxa"/>
              <w:bottom w:w="45" w:type="dxa"/>
              <w:right w:w="45" w:type="dxa"/>
            </w:tcMar>
            <w:vAlign w:val="center"/>
            <w:hideMark/>
          </w:tcPr>
          <w:p w14:paraId="596CEFB8" w14:textId="77777777" w:rsidR="00E17235" w:rsidRPr="005F79A1" w:rsidRDefault="00E17235" w:rsidP="00503A90">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62</w:t>
            </w:r>
          </w:p>
        </w:tc>
        <w:tc>
          <w:tcPr>
            <w:tcW w:w="0" w:type="auto"/>
            <w:tcMar>
              <w:top w:w="45" w:type="dxa"/>
              <w:left w:w="45" w:type="dxa"/>
              <w:bottom w:w="45" w:type="dxa"/>
              <w:right w:w="45" w:type="dxa"/>
            </w:tcMar>
            <w:vAlign w:val="center"/>
            <w:hideMark/>
          </w:tcPr>
          <w:p w14:paraId="43354753" w14:textId="77777777" w:rsidR="00E17235" w:rsidRPr="005F79A1" w:rsidRDefault="00E17235" w:rsidP="00503A90">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Encerramento do prazo para apresentação das manifestações finais pelas partes interessadas e Encerramento da fase de instrução do processo.</w:t>
            </w:r>
          </w:p>
        </w:tc>
        <w:tc>
          <w:tcPr>
            <w:tcW w:w="0" w:type="auto"/>
            <w:tcMar>
              <w:top w:w="45" w:type="dxa"/>
              <w:left w:w="45" w:type="dxa"/>
              <w:bottom w:w="45" w:type="dxa"/>
              <w:right w:w="45" w:type="dxa"/>
            </w:tcMar>
            <w:vAlign w:val="center"/>
          </w:tcPr>
          <w:p w14:paraId="6DFE210D" w14:textId="1FD1A0A8" w:rsidR="00E17235" w:rsidRPr="005F79A1" w:rsidRDefault="006026FF" w:rsidP="00503A90">
            <w:pPr>
              <w:pStyle w:val="dou-paragraph"/>
              <w:spacing w:before="0" w:beforeAutospacing="0" w:after="0" w:afterAutospacing="0"/>
              <w:rPr>
                <w:rFonts w:asciiTheme="minorHAnsi" w:hAnsiTheme="minorHAnsi"/>
                <w:sz w:val="22"/>
                <w:szCs w:val="22"/>
              </w:rPr>
            </w:pPr>
            <w:r>
              <w:rPr>
                <w:rFonts w:asciiTheme="minorHAnsi" w:hAnsiTheme="minorHAnsi"/>
                <w:sz w:val="22"/>
                <w:szCs w:val="22"/>
              </w:rPr>
              <w:t>23</w:t>
            </w:r>
            <w:r w:rsidR="00E17235" w:rsidRPr="005F79A1">
              <w:rPr>
                <w:rFonts w:asciiTheme="minorHAnsi" w:hAnsiTheme="minorHAnsi"/>
                <w:sz w:val="22"/>
                <w:szCs w:val="22"/>
              </w:rPr>
              <w:t>/</w:t>
            </w:r>
            <w:r w:rsidR="00E17235">
              <w:rPr>
                <w:rFonts w:asciiTheme="minorHAnsi" w:hAnsiTheme="minorHAnsi"/>
                <w:sz w:val="22"/>
                <w:szCs w:val="22"/>
              </w:rPr>
              <w:t>0</w:t>
            </w:r>
            <w:r>
              <w:rPr>
                <w:rFonts w:asciiTheme="minorHAnsi" w:hAnsiTheme="minorHAnsi"/>
                <w:sz w:val="22"/>
                <w:szCs w:val="22"/>
              </w:rPr>
              <w:t>3</w:t>
            </w:r>
            <w:r w:rsidR="00E17235" w:rsidRPr="005F79A1">
              <w:rPr>
                <w:rFonts w:asciiTheme="minorHAnsi" w:hAnsiTheme="minorHAnsi"/>
                <w:sz w:val="22"/>
                <w:szCs w:val="22"/>
              </w:rPr>
              <w:t>/20</w:t>
            </w:r>
            <w:r w:rsidR="00E17235">
              <w:rPr>
                <w:rFonts w:asciiTheme="minorHAnsi" w:hAnsiTheme="minorHAnsi"/>
                <w:sz w:val="22"/>
                <w:szCs w:val="22"/>
              </w:rPr>
              <w:t>20</w:t>
            </w:r>
          </w:p>
        </w:tc>
      </w:tr>
      <w:tr w:rsidR="006026FF" w:rsidRPr="005F79A1" w14:paraId="1740504C" w14:textId="77777777" w:rsidTr="00503A90">
        <w:tc>
          <w:tcPr>
            <w:tcW w:w="0" w:type="auto"/>
            <w:tcMar>
              <w:top w:w="45" w:type="dxa"/>
              <w:left w:w="45" w:type="dxa"/>
              <w:bottom w:w="45" w:type="dxa"/>
              <w:right w:w="45" w:type="dxa"/>
            </w:tcMar>
            <w:vAlign w:val="center"/>
            <w:hideMark/>
          </w:tcPr>
          <w:p w14:paraId="419D26C7" w14:textId="77777777" w:rsidR="00E17235" w:rsidRPr="005F79A1" w:rsidRDefault="00E17235" w:rsidP="00503A90">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63</w:t>
            </w:r>
          </w:p>
        </w:tc>
        <w:tc>
          <w:tcPr>
            <w:tcW w:w="0" w:type="auto"/>
            <w:tcMar>
              <w:top w:w="45" w:type="dxa"/>
              <w:left w:w="45" w:type="dxa"/>
              <w:bottom w:w="45" w:type="dxa"/>
              <w:right w:w="45" w:type="dxa"/>
            </w:tcMar>
            <w:vAlign w:val="center"/>
            <w:hideMark/>
          </w:tcPr>
          <w:p w14:paraId="44E56514" w14:textId="77777777" w:rsidR="00E17235" w:rsidRPr="005F79A1" w:rsidRDefault="00E17235" w:rsidP="00503A90">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Expedição, pela SDCOM, do parecer de determinação final.</w:t>
            </w:r>
          </w:p>
        </w:tc>
        <w:tc>
          <w:tcPr>
            <w:tcW w:w="0" w:type="auto"/>
            <w:tcMar>
              <w:top w:w="45" w:type="dxa"/>
              <w:left w:w="45" w:type="dxa"/>
              <w:bottom w:w="45" w:type="dxa"/>
              <w:right w:w="45" w:type="dxa"/>
            </w:tcMar>
            <w:vAlign w:val="center"/>
            <w:hideMark/>
          </w:tcPr>
          <w:p w14:paraId="2F63805E" w14:textId="0ED38E8B" w:rsidR="00E17235" w:rsidRPr="005F79A1" w:rsidRDefault="00686DE5" w:rsidP="00503A90">
            <w:pPr>
              <w:pStyle w:val="dou-paragraph"/>
              <w:spacing w:before="0" w:beforeAutospacing="0" w:after="0" w:afterAutospacing="0"/>
              <w:rPr>
                <w:rFonts w:asciiTheme="minorHAnsi" w:hAnsiTheme="minorHAnsi"/>
                <w:sz w:val="22"/>
                <w:szCs w:val="22"/>
              </w:rPr>
            </w:pPr>
            <w:r>
              <w:rPr>
                <w:rFonts w:asciiTheme="minorHAnsi" w:hAnsiTheme="minorHAnsi"/>
                <w:sz w:val="22"/>
                <w:szCs w:val="22"/>
              </w:rPr>
              <w:t>13</w:t>
            </w:r>
            <w:r w:rsidR="00E17235" w:rsidRPr="005F79A1">
              <w:rPr>
                <w:rFonts w:asciiTheme="minorHAnsi" w:hAnsiTheme="minorHAnsi"/>
                <w:sz w:val="22"/>
                <w:szCs w:val="22"/>
              </w:rPr>
              <w:t>/</w:t>
            </w:r>
            <w:r w:rsidR="00E17235">
              <w:rPr>
                <w:rFonts w:asciiTheme="minorHAnsi" w:hAnsiTheme="minorHAnsi"/>
                <w:sz w:val="22"/>
                <w:szCs w:val="22"/>
              </w:rPr>
              <w:t>0</w:t>
            </w:r>
            <w:r>
              <w:rPr>
                <w:rFonts w:asciiTheme="minorHAnsi" w:hAnsiTheme="minorHAnsi"/>
                <w:sz w:val="22"/>
                <w:szCs w:val="22"/>
              </w:rPr>
              <w:t>4</w:t>
            </w:r>
            <w:r w:rsidR="00E17235" w:rsidRPr="005F79A1">
              <w:rPr>
                <w:rFonts w:asciiTheme="minorHAnsi" w:hAnsiTheme="minorHAnsi"/>
                <w:sz w:val="22"/>
                <w:szCs w:val="22"/>
              </w:rPr>
              <w:t>/20</w:t>
            </w:r>
            <w:r w:rsidR="00E17235">
              <w:rPr>
                <w:rFonts w:asciiTheme="minorHAnsi" w:hAnsiTheme="minorHAnsi"/>
                <w:sz w:val="22"/>
                <w:szCs w:val="22"/>
              </w:rPr>
              <w:t>20</w:t>
            </w:r>
          </w:p>
        </w:tc>
      </w:tr>
    </w:tbl>
    <w:p w14:paraId="3CC346D2" w14:textId="77777777" w:rsidR="00454CEC" w:rsidRDefault="00454CEC" w:rsidP="001A16FB">
      <w:pPr>
        <w:shd w:val="clear" w:color="auto" w:fill="FFFFFF"/>
        <w:spacing w:after="0" w:line="240" w:lineRule="auto"/>
        <w:rPr>
          <w:sz w:val="22"/>
          <w:szCs w:val="22"/>
        </w:rPr>
      </w:pPr>
    </w:p>
    <w:p w14:paraId="2F34F927" w14:textId="4588449F" w:rsidR="00E308C5" w:rsidRDefault="00E308C5" w:rsidP="001A16FB">
      <w:pPr>
        <w:shd w:val="clear" w:color="auto" w:fill="FFFFFF"/>
        <w:spacing w:after="0" w:line="240" w:lineRule="auto"/>
        <w:rPr>
          <w:sz w:val="22"/>
          <w:szCs w:val="22"/>
        </w:rPr>
      </w:pPr>
    </w:p>
    <w:p w14:paraId="1652ADE3" w14:textId="5C9A736B" w:rsidR="00E17235" w:rsidRDefault="00E17235" w:rsidP="001A16FB">
      <w:pPr>
        <w:shd w:val="clear" w:color="auto" w:fill="FFFFFF"/>
        <w:spacing w:after="0" w:line="240" w:lineRule="auto"/>
        <w:rPr>
          <w:sz w:val="22"/>
          <w:szCs w:val="22"/>
        </w:rPr>
      </w:pPr>
    </w:p>
    <w:p w14:paraId="3E756C84" w14:textId="04F8BCB2" w:rsidR="0041091C" w:rsidRPr="003A5A69" w:rsidRDefault="0041091C" w:rsidP="0041091C">
      <w:pPr>
        <w:shd w:val="clear" w:color="auto" w:fill="FFFFFF"/>
        <w:spacing w:after="0" w:line="240" w:lineRule="auto"/>
        <w:rPr>
          <w:sz w:val="22"/>
          <w:szCs w:val="22"/>
        </w:rPr>
      </w:pPr>
      <w:r w:rsidRPr="003A5A69">
        <w:rPr>
          <w:rFonts w:cs="Arial"/>
          <w:b/>
          <w:bCs/>
          <w:color w:val="222222"/>
          <w:sz w:val="22"/>
          <w:szCs w:val="22"/>
          <w:shd w:val="clear" w:color="auto" w:fill="FFFFFF"/>
        </w:rPr>
        <w:t>BATATAS CONGELADAS (NCM 2004.10.00) </w:t>
      </w:r>
      <w:r w:rsidRPr="003A5A69">
        <w:rPr>
          <w:rFonts w:cs="Arial"/>
          <w:color w:val="222222"/>
          <w:sz w:val="22"/>
          <w:szCs w:val="22"/>
          <w:shd w:val="clear" w:color="auto" w:fill="FFFFFF"/>
        </w:rPr>
        <w:t>– A SECEX promoveu ajuste no compromisso de preços para a importação de batatas congeladas, NCM 2004.10.</w:t>
      </w:r>
      <w:r w:rsidR="00E82E90">
        <w:rPr>
          <w:rFonts w:cs="Arial"/>
          <w:color w:val="222222"/>
          <w:sz w:val="22"/>
          <w:szCs w:val="22"/>
          <w:shd w:val="clear" w:color="auto" w:fill="FFFFFF"/>
        </w:rPr>
        <w:t xml:space="preserve"> </w:t>
      </w:r>
      <w:r w:rsidRPr="003A5A69">
        <w:rPr>
          <w:rFonts w:cs="Arial"/>
          <w:color w:val="222222"/>
          <w:sz w:val="22"/>
          <w:szCs w:val="22"/>
          <w:shd w:val="clear" w:color="auto" w:fill="FFFFFF"/>
        </w:rPr>
        <w:t>00, </w:t>
      </w:r>
      <w:r w:rsidR="00B2444A" w:rsidRPr="00C65095">
        <w:rPr>
          <w:bCs/>
          <w:sz w:val="22"/>
          <w:szCs w:val="22"/>
        </w:rPr>
        <w:t>quando originárias dos Países Baixos, fabricadas pela empresa Farm Frites BV</w:t>
      </w:r>
      <w:r w:rsidR="00637866">
        <w:rPr>
          <w:bCs/>
          <w:sz w:val="22"/>
          <w:szCs w:val="22"/>
        </w:rPr>
        <w:t>. Dessa forma, o</w:t>
      </w:r>
      <w:r w:rsidR="00637866" w:rsidRPr="00C65095">
        <w:rPr>
          <w:bCs/>
          <w:sz w:val="22"/>
          <w:szCs w:val="22"/>
        </w:rPr>
        <w:t xml:space="preserve"> novo preço de exportação de batatas congeladas fabricadas pela Farm Frites BV deverá ser igual ou superior a €1.043,18/t, na condição CIF. </w:t>
      </w:r>
      <w:r w:rsidR="00FD4527">
        <w:rPr>
          <w:bCs/>
          <w:sz w:val="22"/>
          <w:szCs w:val="22"/>
        </w:rPr>
        <w:t>Já na base Fob,</w:t>
      </w:r>
      <w:r w:rsidR="00637866" w:rsidRPr="00C65095">
        <w:rPr>
          <w:bCs/>
          <w:sz w:val="22"/>
          <w:szCs w:val="22"/>
        </w:rPr>
        <w:t xml:space="preserve"> conforme o disposto no tópico D do item 2 do Anexo I da Resolução CAMEX no 6, de 2017, será equivalente a 94,2% do preço de exportação CIF apurado, ou seja, €982,67/t. </w:t>
      </w:r>
      <w:r w:rsidR="00C05039">
        <w:rPr>
          <w:bCs/>
          <w:sz w:val="22"/>
          <w:szCs w:val="22"/>
        </w:rPr>
        <w:t xml:space="preserve"> </w:t>
      </w:r>
      <w:r w:rsidRPr="003A5A69">
        <w:rPr>
          <w:rFonts w:cs="Arial"/>
          <w:color w:val="222222"/>
          <w:sz w:val="22"/>
          <w:szCs w:val="22"/>
        </w:rPr>
        <w:t>A mercadoria segue sujeita a licenciamento não automático, com controle d</w:t>
      </w:r>
      <w:r>
        <w:rPr>
          <w:rFonts w:cs="Arial"/>
          <w:color w:val="222222"/>
          <w:sz w:val="22"/>
          <w:szCs w:val="22"/>
        </w:rPr>
        <w:t>a</w:t>
      </w:r>
      <w:r w:rsidRPr="003A5A69">
        <w:rPr>
          <w:rFonts w:cs="Arial"/>
          <w:color w:val="222222"/>
          <w:sz w:val="22"/>
          <w:szCs w:val="22"/>
        </w:rPr>
        <w:t xml:space="preserve"> </w:t>
      </w:r>
      <w:r>
        <w:rPr>
          <w:rFonts w:cs="Arial"/>
          <w:color w:val="222222"/>
          <w:sz w:val="22"/>
          <w:szCs w:val="22"/>
        </w:rPr>
        <w:t>S</w:t>
      </w:r>
      <w:r w:rsidRPr="003A5A69">
        <w:rPr>
          <w:rFonts w:cs="Arial"/>
          <w:color w:val="222222"/>
          <w:sz w:val="22"/>
          <w:szCs w:val="22"/>
        </w:rPr>
        <w:t xml:space="preserve">ECEX e da ANVISA, desde 29/1/2016. </w:t>
      </w:r>
      <w:r w:rsidRPr="003A5A69">
        <w:rPr>
          <w:rFonts w:cs="Arial"/>
          <w:color w:val="222222"/>
          <w:sz w:val="22"/>
          <w:szCs w:val="22"/>
          <w:shd w:val="clear" w:color="auto" w:fill="FFFFFF"/>
        </w:rPr>
        <w:t xml:space="preserve">(Circular SECEX nº </w:t>
      </w:r>
      <w:r w:rsidR="003322D8">
        <w:rPr>
          <w:rFonts w:cs="Arial"/>
          <w:color w:val="222222"/>
          <w:sz w:val="22"/>
          <w:szCs w:val="22"/>
          <w:shd w:val="clear" w:color="auto" w:fill="FFFFFF"/>
        </w:rPr>
        <w:t>61</w:t>
      </w:r>
      <w:r w:rsidRPr="003A5A69">
        <w:rPr>
          <w:rFonts w:cs="Arial"/>
          <w:color w:val="222222"/>
          <w:sz w:val="22"/>
          <w:szCs w:val="22"/>
          <w:shd w:val="clear" w:color="auto" w:fill="FFFFFF"/>
        </w:rPr>
        <w:t>, de 30/</w:t>
      </w:r>
      <w:r w:rsidR="003322D8">
        <w:rPr>
          <w:rFonts w:cs="Arial"/>
          <w:color w:val="222222"/>
          <w:sz w:val="22"/>
          <w:szCs w:val="22"/>
          <w:shd w:val="clear" w:color="auto" w:fill="FFFFFF"/>
        </w:rPr>
        <w:t>1</w:t>
      </w:r>
      <w:r w:rsidRPr="003A5A69">
        <w:rPr>
          <w:rFonts w:cs="Arial"/>
          <w:color w:val="222222"/>
          <w:sz w:val="22"/>
          <w:szCs w:val="22"/>
          <w:shd w:val="clear" w:color="auto" w:fill="FFFFFF"/>
        </w:rPr>
        <w:t>0/2019, DOU 31/</w:t>
      </w:r>
      <w:r w:rsidR="003322D8">
        <w:rPr>
          <w:rFonts w:cs="Arial"/>
          <w:color w:val="222222"/>
          <w:sz w:val="22"/>
          <w:szCs w:val="22"/>
          <w:shd w:val="clear" w:color="auto" w:fill="FFFFFF"/>
        </w:rPr>
        <w:t>1</w:t>
      </w:r>
      <w:r w:rsidRPr="003A5A69">
        <w:rPr>
          <w:rFonts w:cs="Arial"/>
          <w:color w:val="222222"/>
          <w:sz w:val="22"/>
          <w:szCs w:val="22"/>
          <w:shd w:val="clear" w:color="auto" w:fill="FFFFFF"/>
        </w:rPr>
        <w:t>0/2019).</w:t>
      </w:r>
    </w:p>
    <w:p w14:paraId="0E101E10" w14:textId="39D0D82C" w:rsidR="00E17235" w:rsidRDefault="00E17235" w:rsidP="001A16FB">
      <w:pPr>
        <w:shd w:val="clear" w:color="auto" w:fill="FFFFFF"/>
        <w:spacing w:after="0" w:line="240" w:lineRule="auto"/>
        <w:rPr>
          <w:sz w:val="22"/>
          <w:szCs w:val="22"/>
        </w:rPr>
      </w:pPr>
    </w:p>
    <w:p w14:paraId="635BFEE0" w14:textId="77777777" w:rsidR="0041091C" w:rsidRDefault="0041091C" w:rsidP="0041091C">
      <w:pPr>
        <w:shd w:val="clear" w:color="auto" w:fill="FFFFFF"/>
        <w:spacing w:after="0" w:line="240" w:lineRule="auto"/>
        <w:rPr>
          <w:bCs/>
          <w:sz w:val="22"/>
          <w:szCs w:val="22"/>
        </w:rPr>
      </w:pPr>
    </w:p>
    <w:bookmarkEnd w:id="0"/>
    <w:p w14:paraId="09A886F4" w14:textId="77777777" w:rsidR="002A0AD5" w:rsidRDefault="002A0AD5" w:rsidP="000A7941">
      <w:pPr>
        <w:pStyle w:val="dou-paragraph"/>
        <w:shd w:val="clear" w:color="auto" w:fill="FFFFFF"/>
        <w:spacing w:before="0" w:beforeAutospacing="0" w:after="0" w:afterAutospacing="0"/>
        <w:jc w:val="both"/>
        <w:rPr>
          <w:rFonts w:ascii="Calibri" w:hAnsi="Calibri"/>
          <w:b/>
          <w:bCs/>
          <w:sz w:val="22"/>
          <w:szCs w:val="22"/>
        </w:rPr>
      </w:pPr>
    </w:p>
    <w:p w14:paraId="0AFA84C8" w14:textId="4E03F0BD" w:rsidR="008C38B5" w:rsidRDefault="002A0AD5" w:rsidP="00E82E90">
      <w:pPr>
        <w:pStyle w:val="dou-paragraph"/>
        <w:shd w:val="clear" w:color="auto" w:fill="FFFFFF"/>
        <w:spacing w:before="0" w:beforeAutospacing="0" w:after="0" w:afterAutospacing="0"/>
        <w:jc w:val="both"/>
        <w:rPr>
          <w:b/>
          <w:sz w:val="48"/>
          <w:szCs w:val="48"/>
        </w:rPr>
      </w:pPr>
      <w:r>
        <w:rPr>
          <w:rFonts w:ascii="Calibri" w:hAnsi="Calibri"/>
          <w:b/>
          <w:bCs/>
          <w:sz w:val="22"/>
          <w:szCs w:val="22"/>
        </w:rPr>
        <w:t>ETANOLAMINAS, MONOETANOLAMINAS E TRIETANOLAMINAS</w:t>
      </w:r>
      <w:r w:rsidR="008C38B5" w:rsidRPr="000A7941">
        <w:rPr>
          <w:rFonts w:ascii="Calibri" w:hAnsi="Calibri"/>
          <w:b/>
          <w:bCs/>
          <w:sz w:val="22"/>
          <w:szCs w:val="22"/>
        </w:rPr>
        <w:t xml:space="preserve"> (NCM </w:t>
      </w:r>
      <w:r>
        <w:rPr>
          <w:rFonts w:ascii="Calibri" w:hAnsi="Calibri"/>
          <w:b/>
          <w:bCs/>
          <w:sz w:val="22"/>
          <w:szCs w:val="22"/>
        </w:rPr>
        <w:t>2922.11.00 E</w:t>
      </w:r>
      <w:r w:rsidR="00A35FEF">
        <w:rPr>
          <w:rFonts w:ascii="Calibri" w:hAnsi="Calibri"/>
          <w:b/>
          <w:bCs/>
          <w:sz w:val="22"/>
          <w:szCs w:val="22"/>
        </w:rPr>
        <w:t xml:space="preserve"> 2922.15.00</w:t>
      </w:r>
      <w:r w:rsidR="008C38B5" w:rsidRPr="000A7941">
        <w:rPr>
          <w:rFonts w:ascii="Calibri" w:hAnsi="Calibri"/>
          <w:b/>
          <w:bCs/>
          <w:sz w:val="22"/>
          <w:szCs w:val="22"/>
        </w:rPr>
        <w:t>) - </w:t>
      </w:r>
      <w:r w:rsidR="008C38B5" w:rsidRPr="000A7941">
        <w:rPr>
          <w:rFonts w:ascii="Calibri" w:hAnsi="Calibri"/>
          <w:sz w:val="22"/>
          <w:szCs w:val="22"/>
        </w:rPr>
        <w:t xml:space="preserve">A </w:t>
      </w:r>
      <w:r w:rsidR="00396D98" w:rsidRPr="000A7941">
        <w:rPr>
          <w:rFonts w:ascii="Calibri" w:hAnsi="Calibri"/>
          <w:sz w:val="22"/>
          <w:szCs w:val="22"/>
        </w:rPr>
        <w:t>CAMEX</w:t>
      </w:r>
      <w:r w:rsidR="008C38B5" w:rsidRPr="000A7941">
        <w:rPr>
          <w:rFonts w:ascii="Calibri" w:hAnsi="Calibri"/>
          <w:sz w:val="22"/>
          <w:szCs w:val="22"/>
        </w:rPr>
        <w:t xml:space="preserve"> </w:t>
      </w:r>
      <w:r w:rsidR="008C38B5" w:rsidRPr="000A7941">
        <w:rPr>
          <w:rFonts w:asciiTheme="minorHAnsi" w:hAnsiTheme="minorHAnsi" w:cstheme="minorHAnsi"/>
          <w:sz w:val="22"/>
          <w:szCs w:val="22"/>
        </w:rPr>
        <w:t>prorrogou o direito antidumping definitivo, até</w:t>
      </w:r>
      <w:r w:rsidR="00396D98" w:rsidRPr="000A7941">
        <w:rPr>
          <w:rFonts w:asciiTheme="minorHAnsi" w:hAnsiTheme="minorHAnsi" w:cstheme="minorHAnsi"/>
          <w:sz w:val="22"/>
          <w:szCs w:val="22"/>
        </w:rPr>
        <w:t xml:space="preserve"> </w:t>
      </w:r>
      <w:r w:rsidR="00626174" w:rsidRPr="000A7941">
        <w:rPr>
          <w:rFonts w:asciiTheme="minorHAnsi" w:hAnsiTheme="minorHAnsi" w:cstheme="minorHAnsi"/>
          <w:sz w:val="22"/>
          <w:szCs w:val="22"/>
        </w:rPr>
        <w:t xml:space="preserve">31/10/2024, </w:t>
      </w:r>
      <w:r w:rsidR="00396D98" w:rsidRPr="000A7941">
        <w:rPr>
          <w:rFonts w:asciiTheme="minorHAnsi" w:hAnsiTheme="minorHAnsi" w:cstheme="minorHAnsi"/>
          <w:sz w:val="22"/>
          <w:szCs w:val="22"/>
        </w:rPr>
        <w:t xml:space="preserve">aplicado às importações de etanolaminas - monoetanolaminas (MEA) e trietanolaminas (TEA), </w:t>
      </w:r>
      <w:r w:rsidR="00626174" w:rsidRPr="000A7941">
        <w:rPr>
          <w:rFonts w:asciiTheme="minorHAnsi" w:hAnsiTheme="minorHAnsi" w:cstheme="minorHAnsi"/>
          <w:sz w:val="22"/>
          <w:szCs w:val="22"/>
        </w:rPr>
        <w:t>NCM</w:t>
      </w:r>
      <w:r w:rsidR="00396D98" w:rsidRPr="000A7941">
        <w:rPr>
          <w:rFonts w:asciiTheme="minorHAnsi" w:hAnsiTheme="minorHAnsi" w:cstheme="minorHAnsi"/>
          <w:sz w:val="22"/>
          <w:szCs w:val="22"/>
        </w:rPr>
        <w:t xml:space="preserve"> 2922.11.00 e 2922.15.00</w:t>
      </w:r>
      <w:r w:rsidR="00626174" w:rsidRPr="000A7941">
        <w:rPr>
          <w:rFonts w:asciiTheme="minorHAnsi" w:hAnsiTheme="minorHAnsi" w:cstheme="minorHAnsi"/>
          <w:sz w:val="22"/>
          <w:szCs w:val="22"/>
        </w:rPr>
        <w:t>,</w:t>
      </w:r>
      <w:r w:rsidR="00396D98" w:rsidRPr="000A7941">
        <w:rPr>
          <w:rFonts w:asciiTheme="minorHAnsi" w:hAnsiTheme="minorHAnsi" w:cstheme="minorHAnsi"/>
          <w:sz w:val="22"/>
          <w:szCs w:val="22"/>
        </w:rPr>
        <w:t xml:space="preserve"> originárias da Alemanha e dos Estados Unidos</w:t>
      </w:r>
      <w:r w:rsidR="00626174" w:rsidRPr="000A7941">
        <w:rPr>
          <w:rFonts w:asciiTheme="minorHAnsi" w:hAnsiTheme="minorHAnsi" w:cstheme="minorHAnsi"/>
          <w:sz w:val="22"/>
          <w:szCs w:val="22"/>
        </w:rPr>
        <w:t xml:space="preserve">, </w:t>
      </w:r>
      <w:r w:rsidR="000C5860" w:rsidRPr="000A7941">
        <w:rPr>
          <w:rFonts w:asciiTheme="minorHAnsi" w:hAnsiTheme="minorHAnsi" w:cstheme="minorHAnsi"/>
          <w:sz w:val="22"/>
          <w:szCs w:val="22"/>
        </w:rPr>
        <w:t>nos</w:t>
      </w:r>
      <w:r w:rsidR="000A7941" w:rsidRPr="000A7941">
        <w:rPr>
          <w:rFonts w:asciiTheme="minorHAnsi" w:hAnsiTheme="minorHAnsi" w:cstheme="minorHAnsi"/>
          <w:sz w:val="22"/>
          <w:szCs w:val="22"/>
        </w:rPr>
        <w:t xml:space="preserve"> percentuais de 42,1% (Alemanha) e de 7,4% a 59,3%, conforme o produtor americano. No mesmo ato, </w:t>
      </w:r>
      <w:r w:rsidR="000A7941">
        <w:rPr>
          <w:rFonts w:asciiTheme="minorHAnsi" w:hAnsiTheme="minorHAnsi" w:cstheme="minorHAnsi"/>
          <w:sz w:val="22"/>
          <w:szCs w:val="22"/>
        </w:rPr>
        <w:t>s</w:t>
      </w:r>
      <w:r w:rsidR="000A7941" w:rsidRPr="000A7941">
        <w:rPr>
          <w:rFonts w:asciiTheme="minorHAnsi" w:hAnsiTheme="minorHAnsi" w:cstheme="minorHAnsi"/>
          <w:sz w:val="22"/>
          <w:szCs w:val="22"/>
        </w:rPr>
        <w:t>uspende</w:t>
      </w:r>
      <w:r w:rsidR="000A7941">
        <w:rPr>
          <w:rFonts w:asciiTheme="minorHAnsi" w:hAnsiTheme="minorHAnsi" w:cstheme="minorHAnsi"/>
          <w:sz w:val="22"/>
          <w:szCs w:val="22"/>
        </w:rPr>
        <w:t>u</w:t>
      </w:r>
      <w:r w:rsidR="000A7941" w:rsidRPr="000A7941">
        <w:rPr>
          <w:rFonts w:asciiTheme="minorHAnsi" w:hAnsiTheme="minorHAnsi" w:cstheme="minorHAnsi"/>
          <w:sz w:val="22"/>
          <w:szCs w:val="22"/>
        </w:rPr>
        <w:t xml:space="preserve"> a aplicação do direito antidumping para a Alemanha imediatamente após a sua prorrogação, em razão da existência de dúvidas quanto à provável evolução futura das importações do produto</w:t>
      </w:r>
      <w:r w:rsidR="006A53BB">
        <w:rPr>
          <w:rFonts w:asciiTheme="minorHAnsi" w:hAnsiTheme="minorHAnsi" w:cstheme="minorHAnsi"/>
          <w:sz w:val="22"/>
          <w:szCs w:val="22"/>
        </w:rPr>
        <w:t>.</w:t>
      </w:r>
      <w:r w:rsidR="00AE7EA8">
        <w:rPr>
          <w:rFonts w:asciiTheme="minorHAnsi" w:hAnsiTheme="minorHAnsi" w:cstheme="minorHAnsi"/>
          <w:sz w:val="22"/>
          <w:szCs w:val="22"/>
        </w:rPr>
        <w:t xml:space="preserve"> Haverá acompanhamento do Governo, o que poderá acarretar o retorno da cobrança do direito.</w:t>
      </w:r>
      <w:r w:rsidR="00E82E90">
        <w:rPr>
          <w:rFonts w:asciiTheme="minorHAnsi" w:hAnsiTheme="minorHAnsi" w:cstheme="minorHAnsi"/>
          <w:sz w:val="22"/>
          <w:szCs w:val="22"/>
        </w:rPr>
        <w:t xml:space="preserve"> </w:t>
      </w:r>
      <w:r w:rsidR="008C38B5" w:rsidRPr="00C86DB8">
        <w:rPr>
          <w:rFonts w:ascii="Calibri" w:hAnsi="Calibri"/>
          <w:color w:val="222222"/>
          <w:sz w:val="22"/>
          <w:szCs w:val="22"/>
        </w:rPr>
        <w:t>A mercadoria </w:t>
      </w:r>
      <w:r w:rsidR="00586785">
        <w:rPr>
          <w:rFonts w:ascii="Calibri" w:hAnsi="Calibri"/>
          <w:color w:val="222222"/>
          <w:sz w:val="22"/>
          <w:szCs w:val="22"/>
        </w:rPr>
        <w:t>enquadrada na NCM 2922.11.00 está</w:t>
      </w:r>
      <w:r w:rsidR="008C38B5" w:rsidRPr="00C86DB8">
        <w:rPr>
          <w:rFonts w:ascii="Calibri" w:hAnsi="Calibri"/>
          <w:color w:val="222222"/>
          <w:sz w:val="22"/>
          <w:szCs w:val="22"/>
        </w:rPr>
        <w:t xml:space="preserve"> sujeita a licenciamento </w:t>
      </w:r>
      <w:r w:rsidR="00464C14">
        <w:rPr>
          <w:rFonts w:ascii="Calibri" w:hAnsi="Calibri"/>
          <w:color w:val="222222"/>
          <w:sz w:val="22"/>
          <w:szCs w:val="22"/>
        </w:rPr>
        <w:t xml:space="preserve">não </w:t>
      </w:r>
      <w:r w:rsidR="008C38B5" w:rsidRPr="00C86DB8">
        <w:rPr>
          <w:rFonts w:ascii="Calibri" w:hAnsi="Calibri"/>
          <w:color w:val="222222"/>
          <w:sz w:val="22"/>
          <w:szCs w:val="22"/>
        </w:rPr>
        <w:t xml:space="preserve">automático, com controle do </w:t>
      </w:r>
      <w:r w:rsidR="00086AC7">
        <w:rPr>
          <w:rFonts w:ascii="Calibri" w:hAnsi="Calibri"/>
          <w:color w:val="222222"/>
          <w:sz w:val="22"/>
          <w:szCs w:val="22"/>
        </w:rPr>
        <w:t>S</w:t>
      </w:r>
      <w:r w:rsidR="008C38B5" w:rsidRPr="00C86DB8">
        <w:rPr>
          <w:rFonts w:ascii="Calibri" w:hAnsi="Calibri"/>
          <w:color w:val="222222"/>
          <w:sz w:val="22"/>
          <w:szCs w:val="22"/>
        </w:rPr>
        <w:t>ECEX</w:t>
      </w:r>
      <w:r w:rsidR="00120C63">
        <w:rPr>
          <w:rFonts w:ascii="Calibri" w:hAnsi="Calibri"/>
          <w:color w:val="222222"/>
          <w:sz w:val="22"/>
          <w:szCs w:val="22"/>
        </w:rPr>
        <w:t xml:space="preserve"> e MAPA</w:t>
      </w:r>
      <w:r w:rsidR="008C38B5" w:rsidRPr="00C86DB8">
        <w:rPr>
          <w:rFonts w:ascii="Calibri" w:hAnsi="Calibri"/>
          <w:color w:val="222222"/>
          <w:sz w:val="22"/>
          <w:szCs w:val="22"/>
        </w:rPr>
        <w:t xml:space="preserve"> desde </w:t>
      </w:r>
      <w:r w:rsidR="00120C63">
        <w:rPr>
          <w:rFonts w:ascii="Calibri" w:hAnsi="Calibri"/>
          <w:color w:val="222222"/>
          <w:sz w:val="22"/>
          <w:szCs w:val="22"/>
        </w:rPr>
        <w:t>201</w:t>
      </w:r>
      <w:r w:rsidR="00586785">
        <w:rPr>
          <w:rFonts w:ascii="Calibri" w:hAnsi="Calibri"/>
          <w:color w:val="222222"/>
          <w:sz w:val="22"/>
          <w:szCs w:val="22"/>
        </w:rPr>
        <w:t>3; enquanto a NCM 2922.15.00 está sob</w:t>
      </w:r>
      <w:r w:rsidR="00053082">
        <w:rPr>
          <w:rFonts w:ascii="Calibri" w:hAnsi="Calibri"/>
          <w:color w:val="222222"/>
          <w:sz w:val="22"/>
          <w:szCs w:val="22"/>
        </w:rPr>
        <w:t xml:space="preserve"> licenciamento não automático da SECEX, Comando do Exército, MCT</w:t>
      </w:r>
      <w:r w:rsidR="002474CD">
        <w:rPr>
          <w:rFonts w:ascii="Calibri" w:hAnsi="Calibri"/>
          <w:color w:val="222222"/>
          <w:sz w:val="22"/>
          <w:szCs w:val="22"/>
        </w:rPr>
        <w:t xml:space="preserve">; e sob </w:t>
      </w:r>
      <w:bookmarkStart w:id="1" w:name="_GoBack"/>
      <w:bookmarkEnd w:id="1"/>
      <w:r w:rsidR="002474CD">
        <w:rPr>
          <w:rFonts w:ascii="Calibri" w:hAnsi="Calibri"/>
          <w:color w:val="222222"/>
          <w:sz w:val="22"/>
          <w:szCs w:val="22"/>
        </w:rPr>
        <w:t>destaque do MAPA</w:t>
      </w:r>
      <w:r w:rsidR="00120C63">
        <w:rPr>
          <w:rFonts w:ascii="Calibri" w:hAnsi="Calibri"/>
          <w:color w:val="222222"/>
          <w:sz w:val="22"/>
          <w:szCs w:val="22"/>
        </w:rPr>
        <w:t>.</w:t>
      </w:r>
      <w:r w:rsidR="008C38B5" w:rsidRPr="00C86DB8">
        <w:rPr>
          <w:rFonts w:ascii="Calibri" w:hAnsi="Calibri"/>
          <w:color w:val="222222"/>
          <w:sz w:val="22"/>
          <w:szCs w:val="22"/>
        </w:rPr>
        <w:t xml:space="preserve"> (</w:t>
      </w:r>
      <w:r w:rsidR="00BB1B11">
        <w:rPr>
          <w:rFonts w:ascii="Calibri" w:hAnsi="Calibri"/>
          <w:color w:val="222222"/>
          <w:sz w:val="22"/>
          <w:szCs w:val="22"/>
        </w:rPr>
        <w:t>Resolução CAMEX nº 7,</w:t>
      </w:r>
      <w:r w:rsidR="008C38B5">
        <w:rPr>
          <w:rFonts w:ascii="Calibri" w:hAnsi="Calibri"/>
          <w:color w:val="222222"/>
          <w:sz w:val="22"/>
          <w:szCs w:val="22"/>
        </w:rPr>
        <w:t xml:space="preserve"> </w:t>
      </w:r>
      <w:r w:rsidR="008C38B5" w:rsidRPr="00C86DB8">
        <w:rPr>
          <w:rFonts w:ascii="Calibri" w:hAnsi="Calibri"/>
          <w:color w:val="222222"/>
          <w:sz w:val="22"/>
          <w:szCs w:val="22"/>
        </w:rPr>
        <w:t xml:space="preserve">de </w:t>
      </w:r>
      <w:r w:rsidR="00BB1B11">
        <w:rPr>
          <w:rFonts w:ascii="Calibri" w:hAnsi="Calibri"/>
          <w:color w:val="222222"/>
          <w:sz w:val="22"/>
          <w:szCs w:val="22"/>
        </w:rPr>
        <w:t>30</w:t>
      </w:r>
      <w:r w:rsidR="008C38B5">
        <w:rPr>
          <w:rFonts w:ascii="Calibri" w:hAnsi="Calibri"/>
          <w:color w:val="222222"/>
          <w:sz w:val="22"/>
          <w:szCs w:val="22"/>
        </w:rPr>
        <w:t>/</w:t>
      </w:r>
      <w:r w:rsidR="00674524">
        <w:rPr>
          <w:rFonts w:ascii="Calibri" w:hAnsi="Calibri"/>
          <w:color w:val="222222"/>
          <w:sz w:val="22"/>
          <w:szCs w:val="22"/>
        </w:rPr>
        <w:t>1</w:t>
      </w:r>
      <w:r w:rsidR="008C38B5">
        <w:rPr>
          <w:rFonts w:ascii="Calibri" w:hAnsi="Calibri"/>
          <w:color w:val="222222"/>
          <w:sz w:val="22"/>
          <w:szCs w:val="22"/>
        </w:rPr>
        <w:t>0</w:t>
      </w:r>
      <w:r w:rsidR="008C38B5" w:rsidRPr="00C86DB8">
        <w:rPr>
          <w:rFonts w:ascii="Calibri" w:hAnsi="Calibri"/>
          <w:color w:val="222222"/>
          <w:sz w:val="22"/>
          <w:szCs w:val="22"/>
        </w:rPr>
        <w:t>/201</w:t>
      </w:r>
      <w:r w:rsidR="008C38B5">
        <w:rPr>
          <w:rFonts w:ascii="Calibri" w:hAnsi="Calibri"/>
          <w:color w:val="222222"/>
          <w:sz w:val="22"/>
          <w:szCs w:val="22"/>
        </w:rPr>
        <w:t>9</w:t>
      </w:r>
      <w:r w:rsidR="008C38B5" w:rsidRPr="00C86DB8">
        <w:rPr>
          <w:rFonts w:ascii="Calibri" w:hAnsi="Calibri"/>
          <w:color w:val="222222"/>
          <w:sz w:val="22"/>
          <w:szCs w:val="22"/>
        </w:rPr>
        <w:t xml:space="preserve">, DOU </w:t>
      </w:r>
      <w:r w:rsidR="00674524">
        <w:rPr>
          <w:rFonts w:ascii="Calibri" w:hAnsi="Calibri"/>
          <w:color w:val="222222"/>
          <w:sz w:val="22"/>
          <w:szCs w:val="22"/>
        </w:rPr>
        <w:t>0</w:t>
      </w:r>
      <w:r w:rsidR="00BB1B11">
        <w:rPr>
          <w:rFonts w:ascii="Calibri" w:hAnsi="Calibri"/>
          <w:color w:val="222222"/>
          <w:sz w:val="22"/>
          <w:szCs w:val="22"/>
        </w:rPr>
        <w:t>1</w:t>
      </w:r>
      <w:r w:rsidR="008C38B5" w:rsidRPr="00C86DB8">
        <w:rPr>
          <w:rFonts w:ascii="Calibri" w:hAnsi="Calibri"/>
          <w:color w:val="222222"/>
          <w:sz w:val="22"/>
          <w:szCs w:val="22"/>
        </w:rPr>
        <w:t>/</w:t>
      </w:r>
      <w:r w:rsidR="00674524">
        <w:rPr>
          <w:rFonts w:ascii="Calibri" w:hAnsi="Calibri"/>
          <w:color w:val="222222"/>
          <w:sz w:val="22"/>
          <w:szCs w:val="22"/>
        </w:rPr>
        <w:t>1</w:t>
      </w:r>
      <w:r w:rsidR="00BB1B11">
        <w:rPr>
          <w:rFonts w:ascii="Calibri" w:hAnsi="Calibri"/>
          <w:color w:val="222222"/>
          <w:sz w:val="22"/>
          <w:szCs w:val="22"/>
        </w:rPr>
        <w:t>1</w:t>
      </w:r>
      <w:r w:rsidR="008C38B5" w:rsidRPr="00C86DB8">
        <w:rPr>
          <w:rFonts w:ascii="Calibri" w:hAnsi="Calibri"/>
          <w:color w:val="222222"/>
          <w:sz w:val="22"/>
          <w:szCs w:val="22"/>
        </w:rPr>
        <w:t>/201</w:t>
      </w:r>
      <w:r w:rsidR="008C38B5">
        <w:rPr>
          <w:rFonts w:ascii="Calibri" w:hAnsi="Calibri"/>
          <w:color w:val="222222"/>
          <w:sz w:val="22"/>
          <w:szCs w:val="22"/>
        </w:rPr>
        <w:t>9</w:t>
      </w:r>
      <w:r w:rsidR="008C38B5" w:rsidRPr="00C86DB8">
        <w:rPr>
          <w:rFonts w:ascii="Calibri" w:hAnsi="Calibri"/>
          <w:color w:val="222222"/>
          <w:sz w:val="22"/>
          <w:szCs w:val="22"/>
        </w:rPr>
        <w:t>)</w:t>
      </w:r>
      <w:r w:rsidR="008C38B5">
        <w:rPr>
          <w:rFonts w:ascii="Calibri" w:hAnsi="Calibri"/>
          <w:color w:val="222222"/>
          <w:sz w:val="22"/>
          <w:szCs w:val="22"/>
        </w:rPr>
        <w:t>.</w:t>
      </w:r>
    </w:p>
    <w:p w14:paraId="2B0264DE" w14:textId="77777777" w:rsidR="00BB1B11" w:rsidRDefault="00BB1B11" w:rsidP="00D80266">
      <w:pPr>
        <w:pStyle w:val="NormalWeb"/>
        <w:spacing w:before="0" w:beforeAutospacing="0" w:after="0" w:afterAutospacing="0"/>
        <w:jc w:val="both"/>
        <w:rPr>
          <w:rFonts w:asciiTheme="minorHAnsi" w:hAnsiTheme="minorHAnsi" w:cstheme="minorHAnsi"/>
          <w:sz w:val="22"/>
          <w:szCs w:val="22"/>
        </w:rPr>
      </w:pPr>
    </w:p>
    <w:p w14:paraId="730CB080" w14:textId="0E67D214" w:rsidR="00BB1B11" w:rsidRDefault="00BB1B11" w:rsidP="00D80266">
      <w:pPr>
        <w:pStyle w:val="NormalWeb"/>
        <w:spacing w:before="0" w:beforeAutospacing="0" w:after="0" w:afterAutospacing="0"/>
        <w:jc w:val="both"/>
        <w:rPr>
          <w:rFonts w:asciiTheme="minorHAnsi" w:hAnsiTheme="minorHAnsi" w:cstheme="minorHAnsi"/>
          <w:sz w:val="22"/>
          <w:szCs w:val="22"/>
        </w:rPr>
      </w:pPr>
    </w:p>
    <w:p w14:paraId="3FF3122C" w14:textId="6B0CF1B5" w:rsidR="00BB1B11" w:rsidRDefault="00BB1B11" w:rsidP="00D80266">
      <w:pPr>
        <w:pStyle w:val="NormalWeb"/>
        <w:spacing w:before="0" w:beforeAutospacing="0" w:after="0" w:afterAutospacing="0"/>
        <w:jc w:val="both"/>
        <w:rPr>
          <w:rFonts w:asciiTheme="minorHAnsi" w:hAnsiTheme="minorHAnsi" w:cstheme="minorHAnsi"/>
          <w:sz w:val="22"/>
          <w:szCs w:val="22"/>
        </w:rPr>
      </w:pPr>
    </w:p>
    <w:p w14:paraId="6C6676D5" w14:textId="3E723CA0" w:rsidR="00624BD0" w:rsidRDefault="004F777B" w:rsidP="00064952">
      <w:pPr>
        <w:shd w:val="clear" w:color="auto" w:fill="FFFFFF"/>
        <w:spacing w:after="0" w:line="240" w:lineRule="auto"/>
        <w:jc w:val="center"/>
        <w:rPr>
          <w:b/>
          <w:sz w:val="48"/>
          <w:szCs w:val="48"/>
        </w:rPr>
      </w:pPr>
      <w:r w:rsidRPr="00654A76">
        <w:rPr>
          <w:b/>
          <w:sz w:val="48"/>
          <w:szCs w:val="48"/>
        </w:rPr>
        <w:t>ANEXO</w:t>
      </w:r>
    </w:p>
    <w:p w14:paraId="3F8CA150" w14:textId="27A4CD8D" w:rsidR="006954FD" w:rsidRDefault="006954FD" w:rsidP="006954FD">
      <w:pPr>
        <w:shd w:val="clear" w:color="auto" w:fill="FFFFFF"/>
        <w:spacing w:after="0" w:line="240" w:lineRule="auto"/>
        <w:rPr>
          <w:b/>
          <w:sz w:val="48"/>
          <w:szCs w:val="48"/>
        </w:rPr>
      </w:pPr>
    </w:p>
    <w:p w14:paraId="786E66CC" w14:textId="3E6A9260" w:rsidR="006954FD" w:rsidRDefault="006954FD" w:rsidP="006954FD">
      <w:pPr>
        <w:shd w:val="clear" w:color="auto" w:fill="FFFFFF"/>
        <w:spacing w:after="0" w:line="240" w:lineRule="auto"/>
        <w:rPr>
          <w:b/>
          <w:sz w:val="48"/>
          <w:szCs w:val="48"/>
        </w:rPr>
      </w:pPr>
    </w:p>
    <w:p w14:paraId="64C3719C" w14:textId="772F3416" w:rsidR="007A1F9F" w:rsidRPr="007A1F9F" w:rsidRDefault="006954FD" w:rsidP="007A1F9F">
      <w:pPr>
        <w:shd w:val="clear" w:color="auto" w:fill="FFFFFF"/>
        <w:spacing w:after="0" w:line="240" w:lineRule="auto"/>
        <w:jc w:val="center"/>
        <w:rPr>
          <w:b/>
          <w:sz w:val="22"/>
          <w:szCs w:val="22"/>
        </w:rPr>
      </w:pPr>
      <w:r w:rsidRPr="007A1F9F">
        <w:rPr>
          <w:b/>
          <w:sz w:val="22"/>
          <w:szCs w:val="22"/>
        </w:rPr>
        <w:lastRenderedPageBreak/>
        <w:t>CIRCULAR</w:t>
      </w:r>
      <w:r w:rsidR="007A1F9F" w:rsidRPr="007A1F9F">
        <w:rPr>
          <w:b/>
          <w:sz w:val="22"/>
          <w:szCs w:val="22"/>
        </w:rPr>
        <w:t xml:space="preserve"> SECEX</w:t>
      </w:r>
      <w:r w:rsidRPr="007A1F9F">
        <w:rPr>
          <w:b/>
          <w:sz w:val="22"/>
          <w:szCs w:val="22"/>
        </w:rPr>
        <w:t xml:space="preserve"> Nº 59, DE 21 DE OUTUBRO DE 2019 (DOU 23/10/2019)</w:t>
      </w:r>
    </w:p>
    <w:p w14:paraId="13DF438D" w14:textId="77777777" w:rsidR="007A1F9F" w:rsidRDefault="007A1F9F" w:rsidP="006954FD">
      <w:pPr>
        <w:shd w:val="clear" w:color="auto" w:fill="FFFFFF"/>
        <w:spacing w:after="0" w:line="240" w:lineRule="auto"/>
        <w:rPr>
          <w:bCs/>
          <w:sz w:val="22"/>
          <w:szCs w:val="22"/>
        </w:rPr>
      </w:pPr>
    </w:p>
    <w:p w14:paraId="61447CC3" w14:textId="77777777" w:rsidR="002E4336" w:rsidRDefault="006954FD" w:rsidP="006954FD">
      <w:pPr>
        <w:shd w:val="clear" w:color="auto" w:fill="FFFFFF"/>
        <w:spacing w:after="0" w:line="240" w:lineRule="auto"/>
        <w:rPr>
          <w:bCs/>
          <w:sz w:val="22"/>
          <w:szCs w:val="22"/>
        </w:rPr>
      </w:pPr>
      <w:r w:rsidRPr="006954FD">
        <w:rPr>
          <w:bCs/>
          <w:sz w:val="22"/>
          <w:szCs w:val="22"/>
        </w:rPr>
        <w:t xml:space="preserve">O SECRETÁRIO DE COMÉRCIO EXTERIOR, SUBSTITUTO, DA SECRETARIA ESPECIAL DE COMÉRCIO EXTERIOR E ASSUNTOS INTERNACIONAIS DO MINISTÉRIO DA ECONOMIA, em consonância com o disposto no art. 91 do Decreto nº 9.745, de 8 de abril de 2019, e no art. 3º, inciso I, do Decreto nº 8.058, de 26 de julho de 2013, e tendo em vista o que consta dos autos do Processo SEI no19972.102157/2019-28, referente à suspensão do direito antidumping definitivo aplicado às importações de laminados planos, de aço ligado ou não ligado, de largura igual ou superior a 600 mm, laminados a quente, em chapas (não enrolados) de espessura inferior a 4,75 mm, ou em bobinas (em rolos) de qualquer espessura, comumente classificados nos itens 7208.10.00, 7208.25.00, 7208.26.10, 7208.26.90, 7208.27.10, 7208.27.90, 7208.36.10, 7208.36.90, 7208.37.00, 7208.38.10, 7208.38.90, 7208.39.10, 7208.39.90, 7208.40.00, 7208.53.00, 7208.54.00, 7208.90.00, 7225.30.00 e 7225.40.90 da Nomenclatura Comum do MERCOSUL - NCM, originárias da Rússia e da China, decide: </w:t>
      </w:r>
    </w:p>
    <w:p w14:paraId="2C9D51AA" w14:textId="77777777" w:rsidR="002E4336" w:rsidRDefault="002E4336" w:rsidP="006954FD">
      <w:pPr>
        <w:shd w:val="clear" w:color="auto" w:fill="FFFFFF"/>
        <w:spacing w:after="0" w:line="240" w:lineRule="auto"/>
        <w:rPr>
          <w:bCs/>
          <w:sz w:val="22"/>
          <w:szCs w:val="22"/>
        </w:rPr>
      </w:pPr>
    </w:p>
    <w:p w14:paraId="43EFDC8A" w14:textId="77777777" w:rsidR="002E4336" w:rsidRDefault="006954FD" w:rsidP="006954FD">
      <w:pPr>
        <w:shd w:val="clear" w:color="auto" w:fill="FFFFFF"/>
        <w:spacing w:after="0" w:line="240" w:lineRule="auto"/>
        <w:rPr>
          <w:bCs/>
          <w:sz w:val="22"/>
          <w:szCs w:val="22"/>
        </w:rPr>
      </w:pPr>
      <w:r w:rsidRPr="006954FD">
        <w:rPr>
          <w:bCs/>
          <w:sz w:val="22"/>
          <w:szCs w:val="22"/>
        </w:rPr>
        <w:t xml:space="preserve">1. Tornar público o pedido de reaplicação da medida antidumping aplicada e que se encontra suspensa por razões de interesse público, conforme Resolução Camex nº 97 de 07 de dezembro de 2018. </w:t>
      </w:r>
    </w:p>
    <w:p w14:paraId="7FA01AD8" w14:textId="77777777" w:rsidR="002E4336" w:rsidRDefault="002E4336" w:rsidP="006954FD">
      <w:pPr>
        <w:shd w:val="clear" w:color="auto" w:fill="FFFFFF"/>
        <w:spacing w:after="0" w:line="240" w:lineRule="auto"/>
        <w:rPr>
          <w:bCs/>
          <w:sz w:val="22"/>
          <w:szCs w:val="22"/>
        </w:rPr>
      </w:pPr>
    </w:p>
    <w:p w14:paraId="197E46DE" w14:textId="63EC69B4" w:rsidR="006954FD" w:rsidRDefault="006954FD" w:rsidP="006954FD">
      <w:pPr>
        <w:shd w:val="clear" w:color="auto" w:fill="FFFFFF"/>
        <w:spacing w:after="0" w:line="240" w:lineRule="auto"/>
        <w:rPr>
          <w:bCs/>
          <w:sz w:val="22"/>
          <w:szCs w:val="22"/>
        </w:rPr>
      </w:pPr>
      <w:r w:rsidRPr="006954FD">
        <w:rPr>
          <w:bCs/>
          <w:sz w:val="22"/>
          <w:szCs w:val="22"/>
        </w:rPr>
        <w:t>2. Abrir prazo de trinta dias, a contar da publicação, para o recebimento de manifestações sobre o pedido em questão nos autos do processo mencionado. 3. Esta Circular entra em vigor na data de sua publicação no Diário Oficial da União. LEONARDO DINIZ LAHUD</w:t>
      </w:r>
    </w:p>
    <w:p w14:paraId="58B89F0B" w14:textId="3DBA45FC" w:rsidR="000E2885" w:rsidRDefault="000E2885" w:rsidP="006954FD">
      <w:pPr>
        <w:shd w:val="clear" w:color="auto" w:fill="FFFFFF"/>
        <w:spacing w:after="0" w:line="240" w:lineRule="auto"/>
        <w:rPr>
          <w:bCs/>
          <w:sz w:val="22"/>
          <w:szCs w:val="22"/>
        </w:rPr>
      </w:pPr>
    </w:p>
    <w:p w14:paraId="02CA1BB0" w14:textId="77777777" w:rsidR="002E4336" w:rsidRDefault="002E4336" w:rsidP="000E2885">
      <w:pPr>
        <w:shd w:val="clear" w:color="auto" w:fill="FFFFFF"/>
        <w:spacing w:after="0" w:line="240" w:lineRule="auto"/>
        <w:rPr>
          <w:bCs/>
          <w:sz w:val="22"/>
          <w:szCs w:val="22"/>
        </w:rPr>
      </w:pPr>
    </w:p>
    <w:p w14:paraId="51F26058" w14:textId="77777777" w:rsidR="002E4336" w:rsidRDefault="002E4336" w:rsidP="000E2885">
      <w:pPr>
        <w:shd w:val="clear" w:color="auto" w:fill="FFFFFF"/>
        <w:spacing w:after="0" w:line="240" w:lineRule="auto"/>
        <w:rPr>
          <w:bCs/>
          <w:sz w:val="22"/>
          <w:szCs w:val="22"/>
        </w:rPr>
      </w:pPr>
    </w:p>
    <w:p w14:paraId="38F69CEC" w14:textId="17EBAC97" w:rsidR="00C52EEE" w:rsidRPr="00C52EEE" w:rsidRDefault="000E2885" w:rsidP="00C52EEE">
      <w:pPr>
        <w:shd w:val="clear" w:color="auto" w:fill="FFFFFF"/>
        <w:spacing w:after="0" w:line="240" w:lineRule="auto"/>
        <w:jc w:val="center"/>
        <w:rPr>
          <w:b/>
          <w:sz w:val="22"/>
          <w:szCs w:val="22"/>
        </w:rPr>
      </w:pPr>
      <w:r w:rsidRPr="00C52EEE">
        <w:rPr>
          <w:b/>
          <w:sz w:val="22"/>
          <w:szCs w:val="22"/>
        </w:rPr>
        <w:t>CIRCULAR</w:t>
      </w:r>
      <w:r w:rsidR="00C52EEE" w:rsidRPr="00C52EEE">
        <w:rPr>
          <w:b/>
          <w:sz w:val="22"/>
          <w:szCs w:val="22"/>
        </w:rPr>
        <w:t xml:space="preserve"> SECEX</w:t>
      </w:r>
      <w:r w:rsidRPr="00C52EEE">
        <w:rPr>
          <w:b/>
          <w:sz w:val="22"/>
          <w:szCs w:val="22"/>
        </w:rPr>
        <w:t xml:space="preserve"> Nº 60, DE 24 DE OUTUBRO DE 2019 (DOU </w:t>
      </w:r>
      <w:r w:rsidR="00EC6CCB" w:rsidRPr="00C52EEE">
        <w:rPr>
          <w:b/>
          <w:sz w:val="22"/>
          <w:szCs w:val="22"/>
        </w:rPr>
        <w:t>25/10/2</w:t>
      </w:r>
      <w:r w:rsidR="009417EB">
        <w:rPr>
          <w:b/>
          <w:sz w:val="22"/>
          <w:szCs w:val="22"/>
        </w:rPr>
        <w:t>0</w:t>
      </w:r>
      <w:r w:rsidR="00EC6CCB" w:rsidRPr="00C52EEE">
        <w:rPr>
          <w:b/>
          <w:sz w:val="22"/>
          <w:szCs w:val="22"/>
        </w:rPr>
        <w:t>19)</w:t>
      </w:r>
    </w:p>
    <w:p w14:paraId="538345BA" w14:textId="77777777" w:rsidR="00C52EEE" w:rsidRDefault="00C52EEE" w:rsidP="000E2885">
      <w:pPr>
        <w:shd w:val="clear" w:color="auto" w:fill="FFFFFF"/>
        <w:spacing w:after="0" w:line="240" w:lineRule="auto"/>
        <w:rPr>
          <w:bCs/>
          <w:sz w:val="22"/>
          <w:szCs w:val="22"/>
        </w:rPr>
      </w:pPr>
    </w:p>
    <w:p w14:paraId="66BB0BE7" w14:textId="77777777" w:rsidR="008340EC" w:rsidRDefault="000E2885" w:rsidP="000E2885">
      <w:pPr>
        <w:shd w:val="clear" w:color="auto" w:fill="FFFFFF"/>
        <w:spacing w:after="0" w:line="240" w:lineRule="auto"/>
        <w:rPr>
          <w:bCs/>
          <w:sz w:val="22"/>
          <w:szCs w:val="22"/>
        </w:rPr>
      </w:pPr>
      <w:r w:rsidRPr="000E2885">
        <w:rPr>
          <w:bCs/>
          <w:sz w:val="22"/>
          <w:szCs w:val="22"/>
        </w:rPr>
        <w:t xml:space="preserve">O SECRETÁRIO DE COMÉRCIO EXTERIOR, SUBSTITUTO, DO MINISTÉRIO DA ECONOMIA, nos termos do Acordo sobre a Implementação do Artigo VI do Acordo Geral sobre Tarifas e Comércio - GATT 1994, aprovado pelo Decreto Legislativo no 30, de 15 de dezembro de 1994, e promulgado pelo Decreto no 1.355, de 30 de dezembro de 1994, e o contido nos arts. 59 a 63 do Decreto no 8.058, de 26 de julho de 2013, e no art. 91, inc. X, alínea "c", do Decreto nº 9.745, de 8 de abril de 2019, e tendo em vista o que consta do Processo MDIC/SECEX 52272.002746/2019-70 e do Processo SEI ME nº 19972.101399/2019-02, referentes à revisão da medida antidumping instituída pela Resolução CAMEX nº 46, de 3 de julho de 2014, publicada no Diário Oficial da União D.O.U. de 4 de julho de 2019, aplicada às importações de vidros para uso em eletrodomésticos da linha fria, comumente classificadas no item 7007.19.00 da Nomenclatura Comum do Mercosul - NCM, originárias da China, decide: </w:t>
      </w:r>
    </w:p>
    <w:p w14:paraId="7C5D3E86" w14:textId="77777777" w:rsidR="008340EC" w:rsidRDefault="008340EC" w:rsidP="000E2885">
      <w:pPr>
        <w:shd w:val="clear" w:color="auto" w:fill="FFFFFF"/>
        <w:spacing w:after="0" w:line="240" w:lineRule="auto"/>
        <w:rPr>
          <w:bCs/>
          <w:sz w:val="22"/>
          <w:szCs w:val="22"/>
        </w:rPr>
      </w:pPr>
    </w:p>
    <w:p w14:paraId="5E8EAEA5" w14:textId="30C478DB" w:rsidR="000E2885" w:rsidRPr="000E2885" w:rsidRDefault="000E2885" w:rsidP="000E2885">
      <w:pPr>
        <w:shd w:val="clear" w:color="auto" w:fill="FFFFFF"/>
        <w:spacing w:after="0" w:line="240" w:lineRule="auto"/>
        <w:rPr>
          <w:bCs/>
          <w:sz w:val="22"/>
          <w:szCs w:val="22"/>
        </w:rPr>
      </w:pPr>
      <w:r w:rsidRPr="000E2885">
        <w:rPr>
          <w:bCs/>
          <w:sz w:val="22"/>
          <w:szCs w:val="22"/>
        </w:rPr>
        <w:t>1. Tornar públicos os prazos que servirão de parâmetro para o restante da referida revisão, iniciada por intermédio da Circular SECEX no 40, de 28 de junho de 2019, publicada no D.O.U. de 1o de julho de 2019:</w:t>
      </w:r>
    </w:p>
    <w:p w14:paraId="1D09E325" w14:textId="77777777" w:rsidR="008340EC" w:rsidRDefault="000E2885" w:rsidP="000E2885">
      <w:pPr>
        <w:shd w:val="clear" w:color="auto" w:fill="FFFFFF"/>
        <w:spacing w:after="0" w:line="240" w:lineRule="auto"/>
        <w:rPr>
          <w:bCs/>
          <w:sz w:val="22"/>
          <w:szCs w:val="22"/>
        </w:rPr>
      </w:pPr>
      <w:r w:rsidRPr="000E2885">
        <w:rPr>
          <w:bCs/>
          <w:sz w:val="22"/>
          <w:szCs w:val="22"/>
        </w:rPr>
        <w:t xml:space="preserve">. Disposição legal - Decreto no 8.058, de 2013 Prazos Datas previstas . </w:t>
      </w:r>
    </w:p>
    <w:p w14:paraId="1DC619E1" w14:textId="77777777" w:rsidR="008340EC" w:rsidRDefault="000E2885" w:rsidP="000E2885">
      <w:pPr>
        <w:shd w:val="clear" w:color="auto" w:fill="FFFFFF"/>
        <w:spacing w:after="0" w:line="240" w:lineRule="auto"/>
        <w:rPr>
          <w:bCs/>
          <w:sz w:val="22"/>
          <w:szCs w:val="22"/>
        </w:rPr>
      </w:pPr>
      <w:r w:rsidRPr="000E2885">
        <w:rPr>
          <w:bCs/>
          <w:sz w:val="22"/>
          <w:szCs w:val="22"/>
        </w:rPr>
        <w:t xml:space="preserve">art.59 Encerramento da fase probatória da investigação 10 de janeiro de 2020 . </w:t>
      </w:r>
    </w:p>
    <w:p w14:paraId="2A0B8A8A" w14:textId="77777777" w:rsidR="008340EC" w:rsidRDefault="000E2885" w:rsidP="000E2885">
      <w:pPr>
        <w:shd w:val="clear" w:color="auto" w:fill="FFFFFF"/>
        <w:spacing w:after="0" w:line="240" w:lineRule="auto"/>
        <w:rPr>
          <w:bCs/>
          <w:sz w:val="22"/>
          <w:szCs w:val="22"/>
        </w:rPr>
      </w:pPr>
      <w:r w:rsidRPr="000E2885">
        <w:rPr>
          <w:bCs/>
          <w:sz w:val="22"/>
          <w:szCs w:val="22"/>
        </w:rPr>
        <w:t xml:space="preserve">art. 60 Encerramento da fase de manifestação sobre os dados e as informações constantes dos autos 30 de janeiro de 2020 . </w:t>
      </w:r>
    </w:p>
    <w:p w14:paraId="69849EDE" w14:textId="77777777" w:rsidR="008340EC" w:rsidRDefault="000E2885" w:rsidP="000E2885">
      <w:pPr>
        <w:shd w:val="clear" w:color="auto" w:fill="FFFFFF"/>
        <w:spacing w:after="0" w:line="240" w:lineRule="auto"/>
        <w:rPr>
          <w:bCs/>
          <w:sz w:val="22"/>
          <w:szCs w:val="22"/>
        </w:rPr>
      </w:pPr>
      <w:r w:rsidRPr="000E2885">
        <w:rPr>
          <w:bCs/>
          <w:sz w:val="22"/>
          <w:szCs w:val="22"/>
        </w:rPr>
        <w:t xml:space="preserve">art. 61 Divulgação da nota técnica contendo os fatos essenciais que se encontram em análise e que serão considerados na determinação final 02 de março de 2020 . </w:t>
      </w:r>
    </w:p>
    <w:p w14:paraId="78C10E11" w14:textId="77777777" w:rsidR="008340EC" w:rsidRDefault="000E2885" w:rsidP="000E2885">
      <w:pPr>
        <w:shd w:val="clear" w:color="auto" w:fill="FFFFFF"/>
        <w:spacing w:after="0" w:line="240" w:lineRule="auto"/>
        <w:rPr>
          <w:bCs/>
          <w:sz w:val="22"/>
          <w:szCs w:val="22"/>
        </w:rPr>
      </w:pPr>
      <w:r w:rsidRPr="000E2885">
        <w:rPr>
          <w:bCs/>
          <w:sz w:val="22"/>
          <w:szCs w:val="22"/>
        </w:rPr>
        <w:t xml:space="preserve">art. 62 Encerramento do prazo para apresentação das manifestações finais pelas partes interessadas e Encerramento da fase de instrução do processo 23 de março de 2020 . </w:t>
      </w:r>
    </w:p>
    <w:p w14:paraId="22CED0FA" w14:textId="1FCF8F81" w:rsidR="000E2885" w:rsidRPr="000E2885" w:rsidRDefault="000E2885" w:rsidP="000E2885">
      <w:pPr>
        <w:shd w:val="clear" w:color="auto" w:fill="FFFFFF"/>
        <w:spacing w:after="0" w:line="240" w:lineRule="auto"/>
        <w:rPr>
          <w:bCs/>
          <w:sz w:val="22"/>
          <w:szCs w:val="22"/>
        </w:rPr>
      </w:pPr>
      <w:r w:rsidRPr="000E2885">
        <w:rPr>
          <w:bCs/>
          <w:sz w:val="22"/>
          <w:szCs w:val="22"/>
        </w:rPr>
        <w:t>art. 63 Expedição, pela SDCOM, do parecer de determinação final 13 de abril de 2020</w:t>
      </w:r>
    </w:p>
    <w:p w14:paraId="089587DA" w14:textId="77777777" w:rsidR="008340EC" w:rsidRDefault="008340EC" w:rsidP="000E2885">
      <w:pPr>
        <w:shd w:val="clear" w:color="auto" w:fill="FFFFFF"/>
        <w:spacing w:after="0" w:line="240" w:lineRule="auto"/>
        <w:rPr>
          <w:bCs/>
          <w:sz w:val="22"/>
          <w:szCs w:val="22"/>
        </w:rPr>
      </w:pPr>
    </w:p>
    <w:p w14:paraId="6BBE0343" w14:textId="77777777" w:rsidR="00975D5B" w:rsidRDefault="000E2885" w:rsidP="000E2885">
      <w:pPr>
        <w:shd w:val="clear" w:color="auto" w:fill="FFFFFF"/>
        <w:spacing w:after="0" w:line="240" w:lineRule="auto"/>
        <w:rPr>
          <w:bCs/>
          <w:sz w:val="22"/>
          <w:szCs w:val="22"/>
        </w:rPr>
      </w:pPr>
      <w:r w:rsidRPr="000E2885">
        <w:rPr>
          <w:bCs/>
          <w:sz w:val="22"/>
          <w:szCs w:val="22"/>
        </w:rPr>
        <w:lastRenderedPageBreak/>
        <w:t xml:space="preserve">2. Acolher o Parecer SEI nº 2.772/2019/ME, de 23 de outubro de 2019, elaborado pela Subsecretaria de Defesa Comercial e Interesse Público desta Secretaria de Comércio Exterior, e integrar suas considerações à decisão do item 3 desta Circular, inclusive como sua motivação. </w:t>
      </w:r>
    </w:p>
    <w:p w14:paraId="77A66E61" w14:textId="77777777" w:rsidR="00975D5B" w:rsidRDefault="00975D5B" w:rsidP="000E2885">
      <w:pPr>
        <w:shd w:val="clear" w:color="auto" w:fill="FFFFFF"/>
        <w:spacing w:after="0" w:line="240" w:lineRule="auto"/>
        <w:rPr>
          <w:bCs/>
          <w:sz w:val="22"/>
          <w:szCs w:val="22"/>
        </w:rPr>
      </w:pPr>
    </w:p>
    <w:p w14:paraId="2E1B97FC" w14:textId="73900897" w:rsidR="000E2885" w:rsidRDefault="000E2885" w:rsidP="000E2885">
      <w:pPr>
        <w:shd w:val="clear" w:color="auto" w:fill="FFFFFF"/>
        <w:spacing w:after="0" w:line="240" w:lineRule="auto"/>
        <w:rPr>
          <w:bCs/>
          <w:sz w:val="22"/>
          <w:szCs w:val="22"/>
        </w:rPr>
      </w:pPr>
      <w:r w:rsidRPr="000E2885">
        <w:rPr>
          <w:bCs/>
          <w:sz w:val="22"/>
          <w:szCs w:val="22"/>
        </w:rPr>
        <w:t>3. Iniciar avaliação de interesse público referente à medida antidumping definitiva aplicada pela Resolução CAMEX nº 46, de 3 de julho de 2014. LEONARDO DINIZ LAHUD</w:t>
      </w:r>
    </w:p>
    <w:p w14:paraId="07649887" w14:textId="393C1ECD" w:rsidR="00C65095" w:rsidRDefault="00C65095" w:rsidP="000E2885">
      <w:pPr>
        <w:shd w:val="clear" w:color="auto" w:fill="FFFFFF"/>
        <w:spacing w:after="0" w:line="240" w:lineRule="auto"/>
        <w:rPr>
          <w:bCs/>
          <w:sz w:val="22"/>
          <w:szCs w:val="22"/>
        </w:rPr>
      </w:pPr>
    </w:p>
    <w:p w14:paraId="6E0EDB85" w14:textId="77777777" w:rsidR="00975D5B" w:rsidRDefault="00975D5B" w:rsidP="000E2885">
      <w:pPr>
        <w:shd w:val="clear" w:color="auto" w:fill="FFFFFF"/>
        <w:spacing w:after="0" w:line="240" w:lineRule="auto"/>
        <w:rPr>
          <w:bCs/>
          <w:sz w:val="22"/>
          <w:szCs w:val="22"/>
        </w:rPr>
      </w:pPr>
    </w:p>
    <w:p w14:paraId="1BB677D4" w14:textId="77777777" w:rsidR="00975D5B" w:rsidRDefault="00975D5B" w:rsidP="000E2885">
      <w:pPr>
        <w:shd w:val="clear" w:color="auto" w:fill="FFFFFF"/>
        <w:spacing w:after="0" w:line="240" w:lineRule="auto"/>
        <w:rPr>
          <w:bCs/>
          <w:sz w:val="22"/>
          <w:szCs w:val="22"/>
        </w:rPr>
      </w:pPr>
    </w:p>
    <w:p w14:paraId="55F651C8" w14:textId="77777777" w:rsidR="00975D5B" w:rsidRDefault="00975D5B" w:rsidP="000E2885">
      <w:pPr>
        <w:shd w:val="clear" w:color="auto" w:fill="FFFFFF"/>
        <w:spacing w:after="0" w:line="240" w:lineRule="auto"/>
        <w:rPr>
          <w:bCs/>
          <w:sz w:val="22"/>
          <w:szCs w:val="22"/>
        </w:rPr>
      </w:pPr>
    </w:p>
    <w:p w14:paraId="3916DA23" w14:textId="77777777" w:rsidR="00C54537" w:rsidRPr="00C54537" w:rsidRDefault="00C65095" w:rsidP="00C54537">
      <w:pPr>
        <w:shd w:val="clear" w:color="auto" w:fill="FFFFFF"/>
        <w:spacing w:after="0" w:line="240" w:lineRule="auto"/>
        <w:jc w:val="center"/>
        <w:rPr>
          <w:b/>
          <w:sz w:val="22"/>
          <w:szCs w:val="22"/>
        </w:rPr>
      </w:pPr>
      <w:r w:rsidRPr="00C54537">
        <w:rPr>
          <w:b/>
          <w:sz w:val="22"/>
          <w:szCs w:val="22"/>
        </w:rPr>
        <w:t>CIRCULAR</w:t>
      </w:r>
      <w:r w:rsidR="00C54537" w:rsidRPr="00C54537">
        <w:rPr>
          <w:b/>
          <w:sz w:val="22"/>
          <w:szCs w:val="22"/>
        </w:rPr>
        <w:t xml:space="preserve"> SECEX</w:t>
      </w:r>
      <w:r w:rsidRPr="00C54537">
        <w:rPr>
          <w:b/>
          <w:sz w:val="22"/>
          <w:szCs w:val="22"/>
        </w:rPr>
        <w:t xml:space="preserve"> Nº 61, DE 30 DE OUTUBRO DE 2019 (DOU 31/10/2019)</w:t>
      </w:r>
    </w:p>
    <w:p w14:paraId="75481C5D" w14:textId="77777777" w:rsidR="00C54537" w:rsidRDefault="00C54537" w:rsidP="000E2885">
      <w:pPr>
        <w:shd w:val="clear" w:color="auto" w:fill="FFFFFF"/>
        <w:spacing w:after="0" w:line="240" w:lineRule="auto"/>
        <w:rPr>
          <w:bCs/>
          <w:sz w:val="22"/>
          <w:szCs w:val="22"/>
        </w:rPr>
      </w:pPr>
    </w:p>
    <w:p w14:paraId="5826D009" w14:textId="77777777" w:rsidR="00C54537" w:rsidRDefault="00C65095" w:rsidP="000E2885">
      <w:pPr>
        <w:shd w:val="clear" w:color="auto" w:fill="FFFFFF"/>
        <w:spacing w:after="0" w:line="240" w:lineRule="auto"/>
        <w:rPr>
          <w:bCs/>
          <w:sz w:val="22"/>
          <w:szCs w:val="22"/>
        </w:rPr>
      </w:pPr>
      <w:r w:rsidRPr="00C65095">
        <w:rPr>
          <w:bCs/>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6, de 16 de fevereiro de 2017, publicada no Diário Oficial da União - D.O.U. de 17 de fevereiro de 2017, que homologou, nos termos constantes de seu Anexo I, item 2, o compromisso de preços para amparar as importações brasileiras de batatas congeladas, comumente classificadas no código 2004.10.00 da Nomenclatura Comum do MERCOSUL - NCM, quando originárias dos Países Baixos, fabricadas pela empresa Farm Frites BV, torna público que: </w:t>
      </w:r>
    </w:p>
    <w:p w14:paraId="1902D8C7" w14:textId="77777777" w:rsidR="00C54537" w:rsidRDefault="00C54537" w:rsidP="000E2885">
      <w:pPr>
        <w:shd w:val="clear" w:color="auto" w:fill="FFFFFF"/>
        <w:spacing w:after="0" w:line="240" w:lineRule="auto"/>
        <w:rPr>
          <w:bCs/>
          <w:sz w:val="22"/>
          <w:szCs w:val="22"/>
        </w:rPr>
      </w:pPr>
    </w:p>
    <w:p w14:paraId="2F9AEE65" w14:textId="77777777" w:rsidR="00C54537" w:rsidRDefault="00C65095" w:rsidP="000E2885">
      <w:pPr>
        <w:shd w:val="clear" w:color="auto" w:fill="FFFFFF"/>
        <w:spacing w:after="0" w:line="240" w:lineRule="auto"/>
        <w:rPr>
          <w:bCs/>
          <w:sz w:val="22"/>
          <w:szCs w:val="22"/>
        </w:rPr>
      </w:pPr>
      <w:r w:rsidRPr="00C65095">
        <w:rPr>
          <w:bCs/>
          <w:sz w:val="22"/>
          <w:szCs w:val="22"/>
        </w:rPr>
        <w:t xml:space="preserve">1. De acordo com o disposto no tópico D do item 2 do Anexo I da Resolução CAMEX no 6, de 2017, os preços a serem praticados pela Farm Frites BV devem ser reajustados anualmente, com base na variação do HICP (Harmonized Index of Consumer Prices) da Europa e no preço futuro da batata in natura, publicado pelo sítio eletrônico do European Energy Exchange (EEX´s). </w:t>
      </w:r>
    </w:p>
    <w:p w14:paraId="6B40546D" w14:textId="77777777" w:rsidR="00C54537" w:rsidRDefault="00C54537" w:rsidP="000E2885">
      <w:pPr>
        <w:shd w:val="clear" w:color="auto" w:fill="FFFFFF"/>
        <w:spacing w:after="0" w:line="240" w:lineRule="auto"/>
        <w:rPr>
          <w:bCs/>
          <w:sz w:val="22"/>
          <w:szCs w:val="22"/>
        </w:rPr>
      </w:pPr>
    </w:p>
    <w:p w14:paraId="04F8EB2B" w14:textId="77777777" w:rsidR="001940F7" w:rsidRDefault="00C65095" w:rsidP="000E2885">
      <w:pPr>
        <w:shd w:val="clear" w:color="auto" w:fill="FFFFFF"/>
        <w:spacing w:after="0" w:line="240" w:lineRule="auto"/>
        <w:rPr>
          <w:bCs/>
          <w:sz w:val="22"/>
          <w:szCs w:val="22"/>
        </w:rPr>
      </w:pPr>
      <w:r w:rsidRPr="00C65095">
        <w:rPr>
          <w:bCs/>
          <w:sz w:val="22"/>
          <w:szCs w:val="22"/>
        </w:rPr>
        <w:t xml:space="preserve">2. O preço de exportação reajustado, considerando que as empresas europeias adquirem em média cerca de 50% da batata in natura utilizada na fabricação de batatas congeladas no mercado livre e os outros 50% por meio de contrato, foi apurado com base na seguinte metodologia: i. 50% do ajuste será apurado com base na variação do HICP da Europa no período de outubro do ano anterior à realização do ajuste a setembro do ano de realização do ajuste, aplicado ao preço de exportação da Farm Frites BV em euros; e ii. Os outros 50% do ajuste serão apurados da seguinte forma: a) 61% com base na diferença entre a média simples dos preços futuros da batata in natura, obtidos no sítio eletrônico do EEX´s para os meses de referência utilizados pela publicação (novembro, abril e junho) e, b) 39%, referente à média da participação dos outros custos no custo de produção total da empresa, com base na variação do HICP da Europa no período de outubro do ano anterior à realização do ajuste a setembro do ano de realização do ajuste. </w:t>
      </w:r>
    </w:p>
    <w:p w14:paraId="49FCAA0E" w14:textId="77777777" w:rsidR="001940F7" w:rsidRDefault="001940F7" w:rsidP="000E2885">
      <w:pPr>
        <w:shd w:val="clear" w:color="auto" w:fill="FFFFFF"/>
        <w:spacing w:after="0" w:line="240" w:lineRule="auto"/>
        <w:rPr>
          <w:bCs/>
          <w:sz w:val="22"/>
          <w:szCs w:val="22"/>
        </w:rPr>
      </w:pPr>
    </w:p>
    <w:p w14:paraId="31D546D8" w14:textId="5C628106" w:rsidR="001940F7" w:rsidRDefault="00C65095" w:rsidP="000E2885">
      <w:pPr>
        <w:shd w:val="clear" w:color="auto" w:fill="FFFFFF"/>
        <w:spacing w:after="0" w:line="240" w:lineRule="auto"/>
        <w:rPr>
          <w:bCs/>
          <w:sz w:val="22"/>
          <w:szCs w:val="22"/>
        </w:rPr>
      </w:pPr>
      <w:r w:rsidRPr="00C65095">
        <w:rPr>
          <w:bCs/>
          <w:sz w:val="22"/>
          <w:szCs w:val="22"/>
        </w:rPr>
        <w:t xml:space="preserve">3. Assim, observados os termos do compromisso que previram o reajuste dos preços a serem praticados, bem como as fórmulas previstas, determina-se que: </w:t>
      </w:r>
    </w:p>
    <w:p w14:paraId="7EA1E5C2" w14:textId="77777777" w:rsidR="001940F7" w:rsidRDefault="001940F7" w:rsidP="000E2885">
      <w:pPr>
        <w:shd w:val="clear" w:color="auto" w:fill="FFFFFF"/>
        <w:spacing w:after="0" w:line="240" w:lineRule="auto"/>
        <w:rPr>
          <w:bCs/>
          <w:sz w:val="22"/>
          <w:szCs w:val="22"/>
        </w:rPr>
      </w:pPr>
    </w:p>
    <w:p w14:paraId="20AF7FC7" w14:textId="77777777" w:rsidR="001940F7" w:rsidRDefault="00C65095" w:rsidP="000E2885">
      <w:pPr>
        <w:shd w:val="clear" w:color="auto" w:fill="FFFFFF"/>
        <w:spacing w:after="0" w:line="240" w:lineRule="auto"/>
        <w:rPr>
          <w:bCs/>
          <w:sz w:val="22"/>
          <w:szCs w:val="22"/>
        </w:rPr>
      </w:pPr>
      <w:r w:rsidRPr="00C65095">
        <w:rPr>
          <w:bCs/>
          <w:sz w:val="22"/>
          <w:szCs w:val="22"/>
        </w:rPr>
        <w:t xml:space="preserve">3.1. O novo preço de exportação de batatas congeladas fabricadas pela Farm Frites BV deverá ser igual ou superior a €1.043,18/t (mil e quarenta e três euros e dezoito centavos por tonelada), na condição CIF. </w:t>
      </w:r>
    </w:p>
    <w:p w14:paraId="4732C4DB" w14:textId="77777777" w:rsidR="001940F7" w:rsidRDefault="001940F7" w:rsidP="000E2885">
      <w:pPr>
        <w:shd w:val="clear" w:color="auto" w:fill="FFFFFF"/>
        <w:spacing w:after="0" w:line="240" w:lineRule="auto"/>
        <w:rPr>
          <w:bCs/>
          <w:sz w:val="22"/>
          <w:szCs w:val="22"/>
        </w:rPr>
      </w:pPr>
    </w:p>
    <w:p w14:paraId="601258CF" w14:textId="77777777" w:rsidR="001940F7" w:rsidRDefault="00C65095" w:rsidP="000E2885">
      <w:pPr>
        <w:shd w:val="clear" w:color="auto" w:fill="FFFFFF"/>
        <w:spacing w:after="0" w:line="240" w:lineRule="auto"/>
        <w:rPr>
          <w:bCs/>
          <w:sz w:val="22"/>
          <w:szCs w:val="22"/>
        </w:rPr>
      </w:pPr>
      <w:r w:rsidRPr="00C65095">
        <w:rPr>
          <w:bCs/>
          <w:sz w:val="22"/>
          <w:szCs w:val="22"/>
        </w:rPr>
        <w:t xml:space="preserve">3.2. O novo preço de exportação em base FOB, conforme o disposto no tópico D do item 2 do Anexo I da Resolução CAMEX no 6, de 2017, será equivalente a 94,2% do preço de exportação </w:t>
      </w:r>
      <w:r w:rsidRPr="00C65095">
        <w:rPr>
          <w:bCs/>
          <w:sz w:val="22"/>
          <w:szCs w:val="22"/>
        </w:rPr>
        <w:lastRenderedPageBreak/>
        <w:t xml:space="preserve">CIF apurado, ou seja, €982,67/t (novecentos e oitenta e dois euros e sessenta e sete centavos por tonelada). </w:t>
      </w:r>
    </w:p>
    <w:p w14:paraId="23AD474D" w14:textId="77777777" w:rsidR="001940F7" w:rsidRDefault="001940F7" w:rsidP="000E2885">
      <w:pPr>
        <w:shd w:val="clear" w:color="auto" w:fill="FFFFFF"/>
        <w:spacing w:after="0" w:line="240" w:lineRule="auto"/>
        <w:rPr>
          <w:bCs/>
          <w:sz w:val="22"/>
          <w:szCs w:val="22"/>
        </w:rPr>
      </w:pPr>
    </w:p>
    <w:p w14:paraId="52767B4F" w14:textId="3AE5F9CF" w:rsidR="00C65095" w:rsidRDefault="00C65095" w:rsidP="000E2885">
      <w:pPr>
        <w:shd w:val="clear" w:color="auto" w:fill="FFFFFF"/>
        <w:spacing w:after="0" w:line="240" w:lineRule="auto"/>
        <w:rPr>
          <w:bCs/>
          <w:sz w:val="22"/>
          <w:szCs w:val="22"/>
        </w:rPr>
      </w:pPr>
      <w:r w:rsidRPr="00C65095">
        <w:rPr>
          <w:bCs/>
          <w:sz w:val="22"/>
          <w:szCs w:val="22"/>
        </w:rPr>
        <w:t>4. Esta Circular entra em vigor a partir da data de sua publicação no D.O.U. LUCAS FERRAZ</w:t>
      </w:r>
    </w:p>
    <w:p w14:paraId="3078964C" w14:textId="70E8E6C3" w:rsidR="00BE4813" w:rsidRDefault="00BE4813" w:rsidP="000E2885">
      <w:pPr>
        <w:shd w:val="clear" w:color="auto" w:fill="FFFFFF"/>
        <w:spacing w:after="0" w:line="240" w:lineRule="auto"/>
        <w:rPr>
          <w:bCs/>
          <w:sz w:val="22"/>
          <w:szCs w:val="22"/>
        </w:rPr>
      </w:pPr>
    </w:p>
    <w:p w14:paraId="65F69C6E" w14:textId="77777777" w:rsidR="00D961E8" w:rsidRDefault="00D961E8" w:rsidP="00757A37">
      <w:pPr>
        <w:pStyle w:val="identifica"/>
        <w:shd w:val="clear" w:color="auto" w:fill="FFFFFF"/>
        <w:spacing w:before="0" w:beforeAutospacing="0" w:after="0" w:afterAutospacing="0"/>
        <w:jc w:val="center"/>
        <w:rPr>
          <w:rFonts w:asciiTheme="minorHAnsi" w:hAnsiTheme="minorHAnsi" w:cstheme="minorHAnsi"/>
          <w:b/>
          <w:bCs/>
          <w:caps/>
          <w:color w:val="162937"/>
          <w:sz w:val="22"/>
          <w:szCs w:val="22"/>
        </w:rPr>
      </w:pPr>
    </w:p>
    <w:p w14:paraId="567F81A4" w14:textId="77777777" w:rsidR="00D961E8" w:rsidRDefault="00D961E8" w:rsidP="00757A37">
      <w:pPr>
        <w:pStyle w:val="identifica"/>
        <w:shd w:val="clear" w:color="auto" w:fill="FFFFFF"/>
        <w:spacing w:before="0" w:beforeAutospacing="0" w:after="0" w:afterAutospacing="0"/>
        <w:jc w:val="center"/>
        <w:rPr>
          <w:rFonts w:asciiTheme="minorHAnsi" w:hAnsiTheme="minorHAnsi" w:cstheme="minorHAnsi"/>
          <w:b/>
          <w:bCs/>
          <w:caps/>
          <w:color w:val="162937"/>
          <w:sz w:val="22"/>
          <w:szCs w:val="22"/>
        </w:rPr>
      </w:pPr>
    </w:p>
    <w:p w14:paraId="526D1E20" w14:textId="40DC1788" w:rsidR="00D51DEB" w:rsidRPr="00757A37" w:rsidRDefault="00D51DEB" w:rsidP="00757A37">
      <w:pPr>
        <w:pStyle w:val="identifica"/>
        <w:shd w:val="clear" w:color="auto" w:fill="FFFFFF"/>
        <w:spacing w:before="0" w:beforeAutospacing="0" w:after="0" w:afterAutospacing="0"/>
        <w:jc w:val="center"/>
        <w:rPr>
          <w:rFonts w:asciiTheme="minorHAnsi" w:hAnsiTheme="minorHAnsi" w:cstheme="minorHAnsi"/>
          <w:b/>
          <w:bCs/>
          <w:caps/>
          <w:color w:val="162937"/>
          <w:sz w:val="22"/>
          <w:szCs w:val="22"/>
        </w:rPr>
      </w:pPr>
      <w:r w:rsidRPr="00757A37">
        <w:rPr>
          <w:rFonts w:asciiTheme="minorHAnsi" w:hAnsiTheme="minorHAnsi" w:cstheme="minorHAnsi"/>
          <w:b/>
          <w:bCs/>
          <w:caps/>
          <w:color w:val="162937"/>
          <w:sz w:val="22"/>
          <w:szCs w:val="22"/>
        </w:rPr>
        <w:t xml:space="preserve">RESOLUÇÃO </w:t>
      </w:r>
      <w:r w:rsidR="00757A37" w:rsidRPr="00757A37">
        <w:rPr>
          <w:rFonts w:asciiTheme="minorHAnsi" w:hAnsiTheme="minorHAnsi" w:cstheme="minorHAnsi"/>
          <w:b/>
          <w:bCs/>
          <w:caps/>
          <w:color w:val="162937"/>
          <w:sz w:val="22"/>
          <w:szCs w:val="22"/>
        </w:rPr>
        <w:t xml:space="preserve">CAMEX </w:t>
      </w:r>
      <w:r w:rsidRPr="00757A37">
        <w:rPr>
          <w:rFonts w:asciiTheme="minorHAnsi" w:hAnsiTheme="minorHAnsi" w:cstheme="minorHAnsi"/>
          <w:b/>
          <w:bCs/>
          <w:caps/>
          <w:color w:val="162937"/>
          <w:sz w:val="22"/>
          <w:szCs w:val="22"/>
        </w:rPr>
        <w:t>Nº 7, DE 30 DE OUTUBRO DE 2019</w:t>
      </w:r>
      <w:r w:rsidR="001940F7" w:rsidRPr="00757A37">
        <w:rPr>
          <w:rFonts w:asciiTheme="minorHAnsi" w:hAnsiTheme="minorHAnsi" w:cstheme="minorHAnsi"/>
          <w:b/>
          <w:bCs/>
          <w:caps/>
          <w:color w:val="162937"/>
          <w:sz w:val="22"/>
          <w:szCs w:val="22"/>
        </w:rPr>
        <w:t xml:space="preserve"> (dou 01/11/2019)</w:t>
      </w:r>
    </w:p>
    <w:p w14:paraId="3F29991A" w14:textId="77777777" w:rsidR="00D51DEB" w:rsidRPr="00757A37" w:rsidRDefault="00D51DEB" w:rsidP="00757A37">
      <w:pPr>
        <w:pStyle w:val="ementa"/>
        <w:shd w:val="clear" w:color="auto" w:fill="FFFFFF"/>
        <w:spacing w:before="0" w:beforeAutospacing="0" w:after="0" w:afterAutospacing="0"/>
        <w:ind w:left="5400"/>
        <w:jc w:val="both"/>
        <w:rPr>
          <w:rFonts w:asciiTheme="minorHAnsi" w:hAnsiTheme="minorHAnsi" w:cstheme="minorHAnsi"/>
          <w:color w:val="162937"/>
          <w:sz w:val="22"/>
          <w:szCs w:val="22"/>
        </w:rPr>
      </w:pPr>
      <w:r w:rsidRPr="00757A37">
        <w:rPr>
          <w:rFonts w:asciiTheme="minorHAnsi" w:hAnsiTheme="minorHAnsi" w:cstheme="minorHAnsi"/>
          <w:color w:val="162937"/>
          <w:sz w:val="22"/>
          <w:szCs w:val="22"/>
        </w:rPr>
        <w:t>Prorroga direito antidumping definitivo, por um prazo de até 5 (cinco) anos, aplicado às importações brasileiras de etanolaminas - monoetanolaminas (MEA) e trietanolaminas (TEA), originárias da Alemanha e dos Estados Unidos da América. Suspende a aplicação do direito antidumping para a Alemanha imediatamente após a sua prorrogação.</w:t>
      </w:r>
    </w:p>
    <w:p w14:paraId="39E34E5E" w14:textId="77777777" w:rsidR="00D51DEB" w:rsidRPr="00757A37" w:rsidRDefault="00D51DEB" w:rsidP="00757A37">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757A37">
        <w:rPr>
          <w:rFonts w:asciiTheme="minorHAnsi" w:hAnsiTheme="minorHAnsi" w:cstheme="minorHAnsi"/>
          <w:color w:val="162937"/>
          <w:sz w:val="22"/>
          <w:szCs w:val="22"/>
        </w:rPr>
        <w:t>O COMITÊ EXECUTIVO DE GESTÃO DA CÂMARA DE COMÉRCIO EXTERIOR, no exercício da competência conferida pelo art. 7º, inciso VI, do Decreto nº 10.044, de 4 de outubro de 2019, e considerando o que consta dos autos do Processo SECEX 52272.001882/2018-61, resolve:</w:t>
      </w:r>
    </w:p>
    <w:p w14:paraId="60423068" w14:textId="77777777" w:rsidR="00D51DEB" w:rsidRPr="00757A37" w:rsidRDefault="00D51DEB" w:rsidP="00757A37">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757A37">
        <w:rPr>
          <w:rFonts w:asciiTheme="minorHAnsi" w:hAnsiTheme="minorHAnsi" w:cstheme="minorHAnsi"/>
          <w:color w:val="162937"/>
          <w:sz w:val="22"/>
          <w:szCs w:val="22"/>
        </w:rPr>
        <w:t>Art. 1oProrrogar a aplicação do direito antidumping definitivo, por um prazo de até 5 (cinco) anos, aplicado às importações brasileiras de etanolaminas - monoetanolaminas (MEA) e trietanolaminas (TEA), comumente classificadas nos itens 2922.11.00 e 2922.15.00 da Nomenclatura Comum do Mercosul - NCM, originárias da Alemanha e dos Estados Unidos da América, a ser recolhido sob a forma de alíquota ad valorem, aplicada sobre o preço de exportação CIF, nos montantes abaixo especificados:</w:t>
      </w:r>
    </w:p>
    <w:tbl>
      <w:tblPr>
        <w:tblW w:w="0" w:type="auto"/>
        <w:tblCellMar>
          <w:top w:w="15" w:type="dxa"/>
          <w:left w:w="15" w:type="dxa"/>
          <w:bottom w:w="15" w:type="dxa"/>
          <w:right w:w="15" w:type="dxa"/>
        </w:tblCellMar>
        <w:tblLook w:val="04A0" w:firstRow="1" w:lastRow="0" w:firstColumn="1" w:lastColumn="0" w:noHBand="0" w:noVBand="1"/>
      </w:tblPr>
      <w:tblGrid>
        <w:gridCol w:w="2117"/>
        <w:gridCol w:w="4397"/>
        <w:gridCol w:w="1990"/>
      </w:tblGrid>
      <w:tr w:rsidR="00D51DEB" w:rsidRPr="00757A37" w14:paraId="71152901" w14:textId="77777777" w:rsidTr="00D51DEB">
        <w:trPr>
          <w:gridAfter w:val="2"/>
        </w:trPr>
        <w:tc>
          <w:tcPr>
            <w:tcW w:w="0" w:type="auto"/>
            <w:vAlign w:val="center"/>
            <w:hideMark/>
          </w:tcPr>
          <w:p w14:paraId="6647F1D3" w14:textId="77777777" w:rsidR="00D51DEB" w:rsidRPr="00757A37" w:rsidRDefault="00D51DEB" w:rsidP="00757A37">
            <w:pPr>
              <w:spacing w:after="0"/>
              <w:rPr>
                <w:rFonts w:cstheme="minorHAnsi"/>
                <w:color w:val="162937"/>
                <w:sz w:val="22"/>
                <w:szCs w:val="22"/>
              </w:rPr>
            </w:pPr>
          </w:p>
        </w:tc>
      </w:tr>
      <w:tr w:rsidR="00D51DEB" w:rsidRPr="00757A37" w14:paraId="6C424177"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D30725"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C5F2FA"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Produtor/Exportador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07472D"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Direito Antidumping (%)</w:t>
            </w:r>
          </w:p>
        </w:tc>
      </w:tr>
      <w:tr w:rsidR="00D51DEB" w:rsidRPr="00757A37" w14:paraId="3C6C6B50"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D6744F"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38D1D7"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D70877" w14:textId="77777777" w:rsidR="00D51DEB" w:rsidRPr="00757A37" w:rsidRDefault="00D51DEB" w:rsidP="00757A37">
            <w:pPr>
              <w:spacing w:after="0"/>
              <w:rPr>
                <w:rFonts w:cstheme="minorHAnsi"/>
                <w:sz w:val="22"/>
                <w:szCs w:val="22"/>
              </w:rPr>
            </w:pPr>
          </w:p>
        </w:tc>
      </w:tr>
      <w:tr w:rsidR="00D51DEB" w:rsidRPr="00757A37" w14:paraId="221892E7"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DAABD"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Alemanha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6BE3DB"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Basf S.E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11488A"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41,2*</w:t>
            </w:r>
          </w:p>
        </w:tc>
      </w:tr>
      <w:tr w:rsidR="00D51DEB" w:rsidRPr="00757A37" w14:paraId="2D22BCD0"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C8674F"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300ECD"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Sasol Germany Gmbh</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B4A4CB"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41,2*</w:t>
            </w:r>
          </w:p>
        </w:tc>
      </w:tr>
      <w:tr w:rsidR="00D51DEB" w:rsidRPr="00757A37" w14:paraId="3B08BCA5"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B252D4"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205722"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Merck KGAA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BB99D0"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41,2*</w:t>
            </w:r>
          </w:p>
        </w:tc>
      </w:tr>
      <w:tr w:rsidR="00D51DEB" w:rsidRPr="00757A37" w14:paraId="45FA456B"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39D7FD"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1FDAC8"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Sigma-Aldrich Chemie Gmbh</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18E447"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41,2*</w:t>
            </w:r>
          </w:p>
        </w:tc>
      </w:tr>
      <w:tr w:rsidR="00D51DEB" w:rsidRPr="00757A37" w14:paraId="756000E2"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45FA9B"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ABD2E3"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Zschimmer &amp; Schwarz Gmbh &amp; Co Kg Chemische Fabriken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C652B8"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41,2*</w:t>
            </w:r>
          </w:p>
        </w:tc>
      </w:tr>
      <w:tr w:rsidR="00D51DEB" w:rsidRPr="00757A37" w14:paraId="28283194"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0EC619"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D2B1C7"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Demais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FB1382"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41,2*</w:t>
            </w:r>
          </w:p>
        </w:tc>
      </w:tr>
      <w:tr w:rsidR="00D51DEB" w:rsidRPr="00757A37" w14:paraId="1C0267EB"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02BBF4"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Estados Unidos da América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F15A87"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Ineos Oxide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2AD38C"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7,4</w:t>
            </w:r>
          </w:p>
        </w:tc>
      </w:tr>
      <w:tr w:rsidR="00D51DEB" w:rsidRPr="00757A37" w14:paraId="4022376C"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975D8"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0AA048"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Norman Fox &amp; 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B3C891"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22,3</w:t>
            </w:r>
          </w:p>
        </w:tc>
      </w:tr>
      <w:tr w:rsidR="00D51DEB" w:rsidRPr="00757A37" w14:paraId="326A7D3E"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B4EE6A"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2B63F3"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Sigma-Aldrich.Co.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A63C78"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22,3</w:t>
            </w:r>
          </w:p>
        </w:tc>
      </w:tr>
      <w:tr w:rsidR="00D51DEB" w:rsidRPr="00757A37" w14:paraId="7C3F6C17"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538F76"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B376D6"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The Dow Chemical Company</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E2C8D5"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59,3</w:t>
            </w:r>
          </w:p>
        </w:tc>
      </w:tr>
      <w:tr w:rsidR="00D51DEB" w:rsidRPr="00757A37" w14:paraId="22E7CCC6"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22B0F5"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EB718E"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The United States Pharmacopeial Convention Inc (USP)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704A86"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22,3</w:t>
            </w:r>
          </w:p>
        </w:tc>
      </w:tr>
      <w:tr w:rsidR="00D51DEB" w:rsidRPr="00757A37" w14:paraId="6430FDD4"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A79675"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43C7C5"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Union Carbide Corporation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538C10"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59,3</w:t>
            </w:r>
          </w:p>
        </w:tc>
      </w:tr>
      <w:tr w:rsidR="00D51DEB" w:rsidRPr="00757A37" w14:paraId="50DD3E2D" w14:textId="77777777" w:rsidTr="00D51DE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869AD0" w14:textId="77777777" w:rsidR="00D51DEB" w:rsidRPr="00757A37" w:rsidRDefault="00D51DEB" w:rsidP="00757A37">
            <w:pPr>
              <w:spacing w:after="0"/>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EDED83"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Demais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BD8D2A" w14:textId="77777777" w:rsidR="00D51DEB" w:rsidRPr="00757A37" w:rsidRDefault="00D51DEB" w:rsidP="00757A37">
            <w:pPr>
              <w:pStyle w:val="dou-paragraph"/>
              <w:spacing w:before="0" w:beforeAutospacing="0" w:after="0" w:afterAutospacing="0"/>
              <w:rPr>
                <w:rFonts w:asciiTheme="minorHAnsi" w:hAnsiTheme="minorHAnsi" w:cstheme="minorHAnsi"/>
                <w:sz w:val="22"/>
                <w:szCs w:val="22"/>
              </w:rPr>
            </w:pPr>
            <w:r w:rsidRPr="00757A37">
              <w:rPr>
                <w:rFonts w:asciiTheme="minorHAnsi" w:hAnsiTheme="minorHAnsi" w:cstheme="minorHAnsi"/>
                <w:sz w:val="22"/>
                <w:szCs w:val="22"/>
              </w:rPr>
              <w:t>59,3</w:t>
            </w:r>
          </w:p>
        </w:tc>
      </w:tr>
    </w:tbl>
    <w:p w14:paraId="52A72DD9" w14:textId="77777777" w:rsidR="00D51DEB" w:rsidRPr="00757A37" w:rsidRDefault="00D51DEB" w:rsidP="00757A37">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757A37">
        <w:rPr>
          <w:rFonts w:asciiTheme="minorHAnsi" w:hAnsiTheme="minorHAnsi" w:cstheme="minorHAnsi"/>
          <w:color w:val="162937"/>
          <w:sz w:val="22"/>
          <w:szCs w:val="22"/>
        </w:rPr>
        <w:t>*Prorrogação com imediata suspensão, nos termos do art. 109 do Decreto no8.058, de 2013.</w:t>
      </w:r>
    </w:p>
    <w:p w14:paraId="7296AE14" w14:textId="77777777" w:rsidR="00D51DEB" w:rsidRPr="00757A37" w:rsidRDefault="00D51DEB" w:rsidP="00757A37">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757A37">
        <w:rPr>
          <w:rFonts w:asciiTheme="minorHAnsi" w:hAnsiTheme="minorHAnsi" w:cstheme="minorHAnsi"/>
          <w:color w:val="162937"/>
          <w:sz w:val="22"/>
          <w:szCs w:val="22"/>
        </w:rPr>
        <w:t>Art. 2oSuspender a aplicação do direito antidumping para a Alemanha imediatamente após a sua prorrogação, em razão da existência de dúvidas quanto à provável evolução futura das importações do produto objeto de direito antidumping, nos termos do art. 109 da Decreto no8.058, de 28 de julho de 2013, conforme justificativa apresentada no item 10 do Anexo I.</w:t>
      </w:r>
    </w:p>
    <w:p w14:paraId="19A123B6" w14:textId="77777777" w:rsidR="00D51DEB" w:rsidRPr="00757A37" w:rsidRDefault="00D51DEB" w:rsidP="00757A37">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757A37">
        <w:rPr>
          <w:rFonts w:asciiTheme="minorHAnsi" w:hAnsiTheme="minorHAnsi" w:cstheme="minorHAnsi"/>
          <w:color w:val="162937"/>
          <w:sz w:val="22"/>
          <w:szCs w:val="22"/>
        </w:rPr>
        <w:t>Parágrafo único. A cobrança do direito deverá ser imediatamente retomada caso o aumento das importações ocorra em volume que possa levar à retomada do dano, conforme disposto no parágrafo único do art. 109 do Decreto no8.058, de 2013, após a realização de monitoramento do comportamento das importações pela Subsecretaria de Defesa Comercial e Interesse Público (SDCOM). Esse monitoramento será efetuado mediante a apresentação de petição protocolada pela parte interessada contendo dados sobre a evolução das importações brasileiras de etanolaminas da Alemanha nos períodos subsequentes à suspensão do direito, para avaliação da SDCOM. Caso apresentada, a petição com os elementos de prova deverá conter dados de importação relativos a todo o período já transcorrido desde a data da publicação da prorrogação do direito, contemplando, no mínimo, um período de seis meses, de forma a constituir um período razoável para a análise de seu comportamento. Com o mesmo fim, petições subsequentes poderão ser aceitas após transcorrido, entre cada petição apresentada, período mínimo de doze meses.</w:t>
      </w:r>
    </w:p>
    <w:p w14:paraId="55E3CD11" w14:textId="77777777" w:rsidR="00D51DEB" w:rsidRPr="00757A37" w:rsidRDefault="00D51DEB" w:rsidP="00757A37">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757A37">
        <w:rPr>
          <w:rFonts w:asciiTheme="minorHAnsi" w:hAnsiTheme="minorHAnsi" w:cstheme="minorHAnsi"/>
          <w:color w:val="162937"/>
          <w:sz w:val="22"/>
          <w:szCs w:val="22"/>
        </w:rPr>
        <w:t>Art. 3oTornar públicos os fatos que justificaram a decisão, conforme consta do Anexo I.</w:t>
      </w:r>
    </w:p>
    <w:p w14:paraId="1F3ED7C0" w14:textId="77777777" w:rsidR="00D51DEB" w:rsidRPr="00757A37" w:rsidRDefault="00D51DEB" w:rsidP="00757A37">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757A37">
        <w:rPr>
          <w:rFonts w:asciiTheme="minorHAnsi" w:hAnsiTheme="minorHAnsi" w:cstheme="minorHAnsi"/>
          <w:color w:val="162937"/>
          <w:sz w:val="22"/>
          <w:szCs w:val="22"/>
        </w:rPr>
        <w:t>Art. 4oEsta Resolução entra em vigor na data de sua publicação.</w:t>
      </w:r>
    </w:p>
    <w:p w14:paraId="48E79AAB" w14:textId="77777777" w:rsidR="00D51DEB" w:rsidRPr="00757A37" w:rsidRDefault="00D51DEB" w:rsidP="00757A37">
      <w:pPr>
        <w:pStyle w:val="assina"/>
        <w:shd w:val="clear" w:color="auto" w:fill="FFFFFF"/>
        <w:spacing w:before="0" w:beforeAutospacing="0" w:after="0" w:afterAutospacing="0"/>
        <w:ind w:left="6975"/>
        <w:jc w:val="both"/>
        <w:rPr>
          <w:rFonts w:asciiTheme="minorHAnsi" w:hAnsiTheme="minorHAnsi" w:cstheme="minorHAnsi"/>
          <w:b/>
          <w:bCs/>
          <w:caps/>
          <w:color w:val="162937"/>
          <w:sz w:val="22"/>
          <w:szCs w:val="22"/>
        </w:rPr>
      </w:pPr>
      <w:r w:rsidRPr="00757A37">
        <w:rPr>
          <w:rFonts w:asciiTheme="minorHAnsi" w:hAnsiTheme="minorHAnsi" w:cstheme="minorHAnsi"/>
          <w:b/>
          <w:bCs/>
          <w:caps/>
          <w:color w:val="162937"/>
          <w:sz w:val="22"/>
          <w:szCs w:val="22"/>
        </w:rPr>
        <w:t>PAULO GUEDES</w:t>
      </w:r>
    </w:p>
    <w:p w14:paraId="78257B9E" w14:textId="77777777" w:rsidR="00D51DEB" w:rsidRPr="00757A37" w:rsidRDefault="00D51DEB" w:rsidP="00757A37">
      <w:pPr>
        <w:pStyle w:val="cargo"/>
        <w:shd w:val="clear" w:color="auto" w:fill="FFFFFF"/>
        <w:spacing w:before="0" w:beforeAutospacing="0" w:after="0" w:afterAutospacing="0"/>
        <w:jc w:val="center"/>
        <w:rPr>
          <w:rFonts w:asciiTheme="minorHAnsi" w:hAnsiTheme="minorHAnsi" w:cstheme="minorHAnsi"/>
          <w:color w:val="162937"/>
          <w:sz w:val="22"/>
          <w:szCs w:val="22"/>
        </w:rPr>
      </w:pPr>
      <w:r w:rsidRPr="00757A37">
        <w:rPr>
          <w:rFonts w:asciiTheme="minorHAnsi" w:hAnsiTheme="minorHAnsi" w:cstheme="minorHAnsi"/>
          <w:color w:val="162937"/>
          <w:sz w:val="22"/>
          <w:szCs w:val="22"/>
        </w:rPr>
        <w:t>Presidente do Comitê Executivo de Gestão</w:t>
      </w:r>
    </w:p>
    <w:sectPr w:rsidR="00D51DEB" w:rsidRPr="00757A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58A1"/>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495C"/>
    <w:rsid w:val="0004661E"/>
    <w:rsid w:val="00047189"/>
    <w:rsid w:val="00047724"/>
    <w:rsid w:val="000477E6"/>
    <w:rsid w:val="00050FE8"/>
    <w:rsid w:val="00051C64"/>
    <w:rsid w:val="00053082"/>
    <w:rsid w:val="0005406E"/>
    <w:rsid w:val="0005513F"/>
    <w:rsid w:val="00055A7A"/>
    <w:rsid w:val="00056318"/>
    <w:rsid w:val="00057189"/>
    <w:rsid w:val="0006113C"/>
    <w:rsid w:val="000612AA"/>
    <w:rsid w:val="00062AF3"/>
    <w:rsid w:val="00064952"/>
    <w:rsid w:val="00065F14"/>
    <w:rsid w:val="00066260"/>
    <w:rsid w:val="00066C2B"/>
    <w:rsid w:val="00066C33"/>
    <w:rsid w:val="00066D09"/>
    <w:rsid w:val="000700B0"/>
    <w:rsid w:val="00071655"/>
    <w:rsid w:val="00071B36"/>
    <w:rsid w:val="00072BFC"/>
    <w:rsid w:val="00072C60"/>
    <w:rsid w:val="00073051"/>
    <w:rsid w:val="000750CF"/>
    <w:rsid w:val="000763A2"/>
    <w:rsid w:val="00076DE3"/>
    <w:rsid w:val="00076ED1"/>
    <w:rsid w:val="00077802"/>
    <w:rsid w:val="000806B2"/>
    <w:rsid w:val="00081BE7"/>
    <w:rsid w:val="00083891"/>
    <w:rsid w:val="00083F64"/>
    <w:rsid w:val="0008413E"/>
    <w:rsid w:val="00085350"/>
    <w:rsid w:val="00085A7F"/>
    <w:rsid w:val="00086582"/>
    <w:rsid w:val="00086AC7"/>
    <w:rsid w:val="000870E0"/>
    <w:rsid w:val="0008799D"/>
    <w:rsid w:val="00087B8E"/>
    <w:rsid w:val="000900DD"/>
    <w:rsid w:val="00095DAC"/>
    <w:rsid w:val="00097CCF"/>
    <w:rsid w:val="00097EA3"/>
    <w:rsid w:val="000A0588"/>
    <w:rsid w:val="000A224D"/>
    <w:rsid w:val="000A38E1"/>
    <w:rsid w:val="000A5B27"/>
    <w:rsid w:val="000A6A49"/>
    <w:rsid w:val="000A6EBC"/>
    <w:rsid w:val="000A7941"/>
    <w:rsid w:val="000B106F"/>
    <w:rsid w:val="000B1648"/>
    <w:rsid w:val="000B1AFE"/>
    <w:rsid w:val="000B3019"/>
    <w:rsid w:val="000B350C"/>
    <w:rsid w:val="000B4735"/>
    <w:rsid w:val="000B4817"/>
    <w:rsid w:val="000B4FCF"/>
    <w:rsid w:val="000B572E"/>
    <w:rsid w:val="000B5E7B"/>
    <w:rsid w:val="000B6136"/>
    <w:rsid w:val="000B6B0F"/>
    <w:rsid w:val="000C00BC"/>
    <w:rsid w:val="000C0F31"/>
    <w:rsid w:val="000C2091"/>
    <w:rsid w:val="000C36DA"/>
    <w:rsid w:val="000C3F44"/>
    <w:rsid w:val="000C5696"/>
    <w:rsid w:val="000C576C"/>
    <w:rsid w:val="000C5860"/>
    <w:rsid w:val="000C6612"/>
    <w:rsid w:val="000C7528"/>
    <w:rsid w:val="000C7938"/>
    <w:rsid w:val="000C7C6A"/>
    <w:rsid w:val="000C7EED"/>
    <w:rsid w:val="000D06EB"/>
    <w:rsid w:val="000D248E"/>
    <w:rsid w:val="000D2D3A"/>
    <w:rsid w:val="000D3238"/>
    <w:rsid w:val="000D5067"/>
    <w:rsid w:val="000D580C"/>
    <w:rsid w:val="000D5C96"/>
    <w:rsid w:val="000D6D0C"/>
    <w:rsid w:val="000D6E29"/>
    <w:rsid w:val="000E0386"/>
    <w:rsid w:val="000E2885"/>
    <w:rsid w:val="000E3531"/>
    <w:rsid w:val="000E4697"/>
    <w:rsid w:val="000E6051"/>
    <w:rsid w:val="000E6A1A"/>
    <w:rsid w:val="000E6F00"/>
    <w:rsid w:val="000E6F34"/>
    <w:rsid w:val="000E75AB"/>
    <w:rsid w:val="000E7D36"/>
    <w:rsid w:val="000F0457"/>
    <w:rsid w:val="000F07DE"/>
    <w:rsid w:val="000F0965"/>
    <w:rsid w:val="000F0FCD"/>
    <w:rsid w:val="000F1B87"/>
    <w:rsid w:val="000F2658"/>
    <w:rsid w:val="000F5272"/>
    <w:rsid w:val="000F535C"/>
    <w:rsid w:val="000F622D"/>
    <w:rsid w:val="000F6249"/>
    <w:rsid w:val="000F67A9"/>
    <w:rsid w:val="001004FC"/>
    <w:rsid w:val="00100509"/>
    <w:rsid w:val="00103757"/>
    <w:rsid w:val="00104125"/>
    <w:rsid w:val="00104C6D"/>
    <w:rsid w:val="0010551D"/>
    <w:rsid w:val="00106C97"/>
    <w:rsid w:val="00110044"/>
    <w:rsid w:val="0011063E"/>
    <w:rsid w:val="00110FAB"/>
    <w:rsid w:val="001113E7"/>
    <w:rsid w:val="00112B05"/>
    <w:rsid w:val="001131EF"/>
    <w:rsid w:val="001132F0"/>
    <w:rsid w:val="00113725"/>
    <w:rsid w:val="00113855"/>
    <w:rsid w:val="00113BE3"/>
    <w:rsid w:val="00117B5F"/>
    <w:rsid w:val="00120C63"/>
    <w:rsid w:val="00121F97"/>
    <w:rsid w:val="00123977"/>
    <w:rsid w:val="001256E1"/>
    <w:rsid w:val="0012579F"/>
    <w:rsid w:val="00126A2E"/>
    <w:rsid w:val="001273E2"/>
    <w:rsid w:val="00131C55"/>
    <w:rsid w:val="00132849"/>
    <w:rsid w:val="0013345C"/>
    <w:rsid w:val="001345E8"/>
    <w:rsid w:val="00135B0B"/>
    <w:rsid w:val="001374AE"/>
    <w:rsid w:val="00140E5B"/>
    <w:rsid w:val="001417D4"/>
    <w:rsid w:val="001417E8"/>
    <w:rsid w:val="00142212"/>
    <w:rsid w:val="00143B84"/>
    <w:rsid w:val="001448FB"/>
    <w:rsid w:val="00146FB0"/>
    <w:rsid w:val="0014747E"/>
    <w:rsid w:val="00147F00"/>
    <w:rsid w:val="00150586"/>
    <w:rsid w:val="001510AE"/>
    <w:rsid w:val="00151695"/>
    <w:rsid w:val="0015182A"/>
    <w:rsid w:val="001538F5"/>
    <w:rsid w:val="001548C9"/>
    <w:rsid w:val="001561F4"/>
    <w:rsid w:val="00156558"/>
    <w:rsid w:val="001606CE"/>
    <w:rsid w:val="00161507"/>
    <w:rsid w:val="00162FB0"/>
    <w:rsid w:val="0016407F"/>
    <w:rsid w:val="00164AEC"/>
    <w:rsid w:val="0016642B"/>
    <w:rsid w:val="00166754"/>
    <w:rsid w:val="00166A9D"/>
    <w:rsid w:val="00173190"/>
    <w:rsid w:val="0017381C"/>
    <w:rsid w:val="00173EF2"/>
    <w:rsid w:val="001749F6"/>
    <w:rsid w:val="00174CC7"/>
    <w:rsid w:val="00177D95"/>
    <w:rsid w:val="001801D4"/>
    <w:rsid w:val="00180D88"/>
    <w:rsid w:val="001816C5"/>
    <w:rsid w:val="001821A9"/>
    <w:rsid w:val="00182293"/>
    <w:rsid w:val="00182C12"/>
    <w:rsid w:val="001833EA"/>
    <w:rsid w:val="00186E52"/>
    <w:rsid w:val="0018774F"/>
    <w:rsid w:val="00187EEB"/>
    <w:rsid w:val="00193C82"/>
    <w:rsid w:val="001940F7"/>
    <w:rsid w:val="001944D7"/>
    <w:rsid w:val="001949E8"/>
    <w:rsid w:val="0019614F"/>
    <w:rsid w:val="001967B5"/>
    <w:rsid w:val="001A00D7"/>
    <w:rsid w:val="001A0C91"/>
    <w:rsid w:val="001A1358"/>
    <w:rsid w:val="001A16FB"/>
    <w:rsid w:val="001A173D"/>
    <w:rsid w:val="001A1A44"/>
    <w:rsid w:val="001A23F9"/>
    <w:rsid w:val="001A3F27"/>
    <w:rsid w:val="001A4C32"/>
    <w:rsid w:val="001A5011"/>
    <w:rsid w:val="001A6B85"/>
    <w:rsid w:val="001A7082"/>
    <w:rsid w:val="001A7100"/>
    <w:rsid w:val="001A78E0"/>
    <w:rsid w:val="001A7D8A"/>
    <w:rsid w:val="001B1C40"/>
    <w:rsid w:val="001B3842"/>
    <w:rsid w:val="001B4562"/>
    <w:rsid w:val="001B4848"/>
    <w:rsid w:val="001B54DC"/>
    <w:rsid w:val="001C05A2"/>
    <w:rsid w:val="001C0D9D"/>
    <w:rsid w:val="001C21C1"/>
    <w:rsid w:val="001C5DFB"/>
    <w:rsid w:val="001C6C5C"/>
    <w:rsid w:val="001D1EAD"/>
    <w:rsid w:val="001D6981"/>
    <w:rsid w:val="001D733B"/>
    <w:rsid w:val="001D7D04"/>
    <w:rsid w:val="001E12B3"/>
    <w:rsid w:val="001E2A8A"/>
    <w:rsid w:val="001E2A98"/>
    <w:rsid w:val="001E3A13"/>
    <w:rsid w:val="001E6DEA"/>
    <w:rsid w:val="001E7FCD"/>
    <w:rsid w:val="001F08A0"/>
    <w:rsid w:val="001F0F36"/>
    <w:rsid w:val="001F1BB5"/>
    <w:rsid w:val="001F2E7D"/>
    <w:rsid w:val="001F301B"/>
    <w:rsid w:val="001F3093"/>
    <w:rsid w:val="001F5166"/>
    <w:rsid w:val="001F55A3"/>
    <w:rsid w:val="001F58A8"/>
    <w:rsid w:val="001F5CD3"/>
    <w:rsid w:val="001F78CE"/>
    <w:rsid w:val="002003D6"/>
    <w:rsid w:val="00200B20"/>
    <w:rsid w:val="00200BB5"/>
    <w:rsid w:val="00201D8B"/>
    <w:rsid w:val="002021C5"/>
    <w:rsid w:val="002024DE"/>
    <w:rsid w:val="00202B7C"/>
    <w:rsid w:val="002049F8"/>
    <w:rsid w:val="00204E6F"/>
    <w:rsid w:val="002056CF"/>
    <w:rsid w:val="0020606B"/>
    <w:rsid w:val="00207745"/>
    <w:rsid w:val="0021016A"/>
    <w:rsid w:val="002106B5"/>
    <w:rsid w:val="00210F75"/>
    <w:rsid w:val="002137C9"/>
    <w:rsid w:val="002139D0"/>
    <w:rsid w:val="00213B3C"/>
    <w:rsid w:val="00213F28"/>
    <w:rsid w:val="00214563"/>
    <w:rsid w:val="00215A90"/>
    <w:rsid w:val="002166D6"/>
    <w:rsid w:val="00216DD3"/>
    <w:rsid w:val="00217990"/>
    <w:rsid w:val="00221185"/>
    <w:rsid w:val="00222E17"/>
    <w:rsid w:val="00223289"/>
    <w:rsid w:val="00223BAE"/>
    <w:rsid w:val="00223F40"/>
    <w:rsid w:val="00225022"/>
    <w:rsid w:val="0022541D"/>
    <w:rsid w:val="00225CCB"/>
    <w:rsid w:val="0023219F"/>
    <w:rsid w:val="00232B30"/>
    <w:rsid w:val="00234726"/>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4CD"/>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086"/>
    <w:rsid w:val="00266461"/>
    <w:rsid w:val="00266605"/>
    <w:rsid w:val="00267093"/>
    <w:rsid w:val="00267818"/>
    <w:rsid w:val="00270304"/>
    <w:rsid w:val="00270FB8"/>
    <w:rsid w:val="002717A7"/>
    <w:rsid w:val="00271D84"/>
    <w:rsid w:val="00273035"/>
    <w:rsid w:val="0027465C"/>
    <w:rsid w:val="00281BC9"/>
    <w:rsid w:val="0028285B"/>
    <w:rsid w:val="0028380A"/>
    <w:rsid w:val="00284274"/>
    <w:rsid w:val="00287275"/>
    <w:rsid w:val="002901F0"/>
    <w:rsid w:val="00291EE6"/>
    <w:rsid w:val="00292FEE"/>
    <w:rsid w:val="00293FE3"/>
    <w:rsid w:val="00294F5D"/>
    <w:rsid w:val="0029546B"/>
    <w:rsid w:val="0029677A"/>
    <w:rsid w:val="0029691F"/>
    <w:rsid w:val="002979EA"/>
    <w:rsid w:val="00297A9B"/>
    <w:rsid w:val="00297D57"/>
    <w:rsid w:val="002A08EF"/>
    <w:rsid w:val="002A0AD5"/>
    <w:rsid w:val="002A10E6"/>
    <w:rsid w:val="002A25A9"/>
    <w:rsid w:val="002A2D42"/>
    <w:rsid w:val="002A3664"/>
    <w:rsid w:val="002A36C9"/>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429C"/>
    <w:rsid w:val="002C50A9"/>
    <w:rsid w:val="002C5B68"/>
    <w:rsid w:val="002C5F75"/>
    <w:rsid w:val="002D1078"/>
    <w:rsid w:val="002D3866"/>
    <w:rsid w:val="002D3913"/>
    <w:rsid w:val="002D5F13"/>
    <w:rsid w:val="002D64FD"/>
    <w:rsid w:val="002D67F8"/>
    <w:rsid w:val="002D6A1E"/>
    <w:rsid w:val="002D6EFF"/>
    <w:rsid w:val="002D70A2"/>
    <w:rsid w:val="002E22D6"/>
    <w:rsid w:val="002E4336"/>
    <w:rsid w:val="002E56F4"/>
    <w:rsid w:val="002E5E81"/>
    <w:rsid w:val="002E62A3"/>
    <w:rsid w:val="002E689B"/>
    <w:rsid w:val="002E6ABC"/>
    <w:rsid w:val="002E7552"/>
    <w:rsid w:val="002F1A45"/>
    <w:rsid w:val="002F2554"/>
    <w:rsid w:val="002F2EEC"/>
    <w:rsid w:val="002F34E6"/>
    <w:rsid w:val="002F4D92"/>
    <w:rsid w:val="002F64CD"/>
    <w:rsid w:val="002F67A4"/>
    <w:rsid w:val="002F7B8E"/>
    <w:rsid w:val="00302910"/>
    <w:rsid w:val="00304E12"/>
    <w:rsid w:val="003055BB"/>
    <w:rsid w:val="00305B60"/>
    <w:rsid w:val="003060BE"/>
    <w:rsid w:val="00306C49"/>
    <w:rsid w:val="00307299"/>
    <w:rsid w:val="00307925"/>
    <w:rsid w:val="00314F03"/>
    <w:rsid w:val="00317011"/>
    <w:rsid w:val="003203F3"/>
    <w:rsid w:val="00320818"/>
    <w:rsid w:val="00320A30"/>
    <w:rsid w:val="00321869"/>
    <w:rsid w:val="00322AD4"/>
    <w:rsid w:val="00322EAA"/>
    <w:rsid w:val="00323721"/>
    <w:rsid w:val="00323872"/>
    <w:rsid w:val="00323898"/>
    <w:rsid w:val="003248A1"/>
    <w:rsid w:val="00324D33"/>
    <w:rsid w:val="00326880"/>
    <w:rsid w:val="003277ED"/>
    <w:rsid w:val="00331264"/>
    <w:rsid w:val="003319C6"/>
    <w:rsid w:val="003322D8"/>
    <w:rsid w:val="003337E9"/>
    <w:rsid w:val="00334346"/>
    <w:rsid w:val="003351E7"/>
    <w:rsid w:val="003355F9"/>
    <w:rsid w:val="00335DC5"/>
    <w:rsid w:val="003364BD"/>
    <w:rsid w:val="00341C78"/>
    <w:rsid w:val="00342EC6"/>
    <w:rsid w:val="00343399"/>
    <w:rsid w:val="00345D97"/>
    <w:rsid w:val="00350FC6"/>
    <w:rsid w:val="003512CC"/>
    <w:rsid w:val="00353108"/>
    <w:rsid w:val="00355033"/>
    <w:rsid w:val="003576F9"/>
    <w:rsid w:val="00357753"/>
    <w:rsid w:val="00361559"/>
    <w:rsid w:val="00361882"/>
    <w:rsid w:val="00362499"/>
    <w:rsid w:val="003626B7"/>
    <w:rsid w:val="003626DE"/>
    <w:rsid w:val="00363149"/>
    <w:rsid w:val="003635EE"/>
    <w:rsid w:val="00363820"/>
    <w:rsid w:val="00363C6F"/>
    <w:rsid w:val="00364A2A"/>
    <w:rsid w:val="00364CF9"/>
    <w:rsid w:val="00365102"/>
    <w:rsid w:val="00365EDE"/>
    <w:rsid w:val="00366981"/>
    <w:rsid w:val="003705DD"/>
    <w:rsid w:val="00370718"/>
    <w:rsid w:val="00370C03"/>
    <w:rsid w:val="00371179"/>
    <w:rsid w:val="0037149F"/>
    <w:rsid w:val="0037200B"/>
    <w:rsid w:val="003724A1"/>
    <w:rsid w:val="003743CC"/>
    <w:rsid w:val="00375B04"/>
    <w:rsid w:val="003772AB"/>
    <w:rsid w:val="003774F7"/>
    <w:rsid w:val="00381B33"/>
    <w:rsid w:val="00383A93"/>
    <w:rsid w:val="00384E23"/>
    <w:rsid w:val="00393542"/>
    <w:rsid w:val="00393DB5"/>
    <w:rsid w:val="00396D98"/>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A7E3E"/>
    <w:rsid w:val="003B3C9A"/>
    <w:rsid w:val="003B556C"/>
    <w:rsid w:val="003B5964"/>
    <w:rsid w:val="003B614C"/>
    <w:rsid w:val="003B6B48"/>
    <w:rsid w:val="003B7EC7"/>
    <w:rsid w:val="003C0205"/>
    <w:rsid w:val="003C0280"/>
    <w:rsid w:val="003C0A59"/>
    <w:rsid w:val="003C19F5"/>
    <w:rsid w:val="003C2BBC"/>
    <w:rsid w:val="003C3AF3"/>
    <w:rsid w:val="003C4B9A"/>
    <w:rsid w:val="003C5946"/>
    <w:rsid w:val="003C6610"/>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1F69"/>
    <w:rsid w:val="003E208D"/>
    <w:rsid w:val="003E3229"/>
    <w:rsid w:val="003E5B89"/>
    <w:rsid w:val="003E65EF"/>
    <w:rsid w:val="003E663E"/>
    <w:rsid w:val="003E7D8D"/>
    <w:rsid w:val="003F084C"/>
    <w:rsid w:val="003F0EE0"/>
    <w:rsid w:val="003F193B"/>
    <w:rsid w:val="003F2391"/>
    <w:rsid w:val="003F30BD"/>
    <w:rsid w:val="003F54E4"/>
    <w:rsid w:val="003F65B7"/>
    <w:rsid w:val="003F6953"/>
    <w:rsid w:val="003F7815"/>
    <w:rsid w:val="00401F8E"/>
    <w:rsid w:val="00402D42"/>
    <w:rsid w:val="00403429"/>
    <w:rsid w:val="0040385C"/>
    <w:rsid w:val="0040484E"/>
    <w:rsid w:val="004051C2"/>
    <w:rsid w:val="0041091C"/>
    <w:rsid w:val="004117E0"/>
    <w:rsid w:val="00412103"/>
    <w:rsid w:val="004142AA"/>
    <w:rsid w:val="00415C6F"/>
    <w:rsid w:val="0041767B"/>
    <w:rsid w:val="00417F21"/>
    <w:rsid w:val="00420C02"/>
    <w:rsid w:val="00421845"/>
    <w:rsid w:val="00421BAD"/>
    <w:rsid w:val="00421E49"/>
    <w:rsid w:val="00423AA1"/>
    <w:rsid w:val="004241D6"/>
    <w:rsid w:val="004241E1"/>
    <w:rsid w:val="004256F6"/>
    <w:rsid w:val="0043403A"/>
    <w:rsid w:val="00434255"/>
    <w:rsid w:val="004346EB"/>
    <w:rsid w:val="00436224"/>
    <w:rsid w:val="00437C96"/>
    <w:rsid w:val="004411FA"/>
    <w:rsid w:val="00441C17"/>
    <w:rsid w:val="00441F99"/>
    <w:rsid w:val="00443EDD"/>
    <w:rsid w:val="004441DE"/>
    <w:rsid w:val="0044460A"/>
    <w:rsid w:val="0044562B"/>
    <w:rsid w:val="004464EF"/>
    <w:rsid w:val="00446C76"/>
    <w:rsid w:val="004507F1"/>
    <w:rsid w:val="00452420"/>
    <w:rsid w:val="00453102"/>
    <w:rsid w:val="004534F8"/>
    <w:rsid w:val="00454015"/>
    <w:rsid w:val="00454CEC"/>
    <w:rsid w:val="00454D13"/>
    <w:rsid w:val="00455334"/>
    <w:rsid w:val="00455761"/>
    <w:rsid w:val="0045608A"/>
    <w:rsid w:val="00457DFF"/>
    <w:rsid w:val="004604DD"/>
    <w:rsid w:val="0046064B"/>
    <w:rsid w:val="00461C8C"/>
    <w:rsid w:val="004622B9"/>
    <w:rsid w:val="004624F0"/>
    <w:rsid w:val="00464C14"/>
    <w:rsid w:val="00464FC7"/>
    <w:rsid w:val="00467553"/>
    <w:rsid w:val="00467749"/>
    <w:rsid w:val="00467963"/>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0253"/>
    <w:rsid w:val="00491E03"/>
    <w:rsid w:val="00494FAF"/>
    <w:rsid w:val="00495E46"/>
    <w:rsid w:val="0049726F"/>
    <w:rsid w:val="004A0027"/>
    <w:rsid w:val="004A013B"/>
    <w:rsid w:val="004A0E05"/>
    <w:rsid w:val="004A0FF5"/>
    <w:rsid w:val="004A14CA"/>
    <w:rsid w:val="004A1762"/>
    <w:rsid w:val="004A1DC3"/>
    <w:rsid w:val="004A2B45"/>
    <w:rsid w:val="004A2C31"/>
    <w:rsid w:val="004A2F42"/>
    <w:rsid w:val="004A31A9"/>
    <w:rsid w:val="004A39E9"/>
    <w:rsid w:val="004A3D47"/>
    <w:rsid w:val="004A4803"/>
    <w:rsid w:val="004A5CC5"/>
    <w:rsid w:val="004A60A4"/>
    <w:rsid w:val="004A7EDC"/>
    <w:rsid w:val="004B01FE"/>
    <w:rsid w:val="004B04C0"/>
    <w:rsid w:val="004B104B"/>
    <w:rsid w:val="004B1291"/>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6F7"/>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C4D"/>
    <w:rsid w:val="00525E38"/>
    <w:rsid w:val="0052687F"/>
    <w:rsid w:val="005269B7"/>
    <w:rsid w:val="00526A04"/>
    <w:rsid w:val="005308C9"/>
    <w:rsid w:val="0053152A"/>
    <w:rsid w:val="005315D0"/>
    <w:rsid w:val="0053164A"/>
    <w:rsid w:val="00531FD9"/>
    <w:rsid w:val="00534E69"/>
    <w:rsid w:val="00537663"/>
    <w:rsid w:val="005403EF"/>
    <w:rsid w:val="00540E66"/>
    <w:rsid w:val="0054102B"/>
    <w:rsid w:val="00541682"/>
    <w:rsid w:val="00541BCE"/>
    <w:rsid w:val="00541FAB"/>
    <w:rsid w:val="00544FD9"/>
    <w:rsid w:val="00546B8E"/>
    <w:rsid w:val="0054788C"/>
    <w:rsid w:val="00551AB5"/>
    <w:rsid w:val="00551F2B"/>
    <w:rsid w:val="00553245"/>
    <w:rsid w:val="00553D56"/>
    <w:rsid w:val="00554D4C"/>
    <w:rsid w:val="005565CA"/>
    <w:rsid w:val="005612DA"/>
    <w:rsid w:val="005638A7"/>
    <w:rsid w:val="005658ED"/>
    <w:rsid w:val="005663B8"/>
    <w:rsid w:val="0056654A"/>
    <w:rsid w:val="0056788C"/>
    <w:rsid w:val="00567DC7"/>
    <w:rsid w:val="00571329"/>
    <w:rsid w:val="00571655"/>
    <w:rsid w:val="00575CFF"/>
    <w:rsid w:val="00575D07"/>
    <w:rsid w:val="00581A15"/>
    <w:rsid w:val="005820F6"/>
    <w:rsid w:val="00582470"/>
    <w:rsid w:val="005859F1"/>
    <w:rsid w:val="00586785"/>
    <w:rsid w:val="00590167"/>
    <w:rsid w:val="00590596"/>
    <w:rsid w:val="00590B9D"/>
    <w:rsid w:val="00592241"/>
    <w:rsid w:val="0059294C"/>
    <w:rsid w:val="0059441E"/>
    <w:rsid w:val="0059649D"/>
    <w:rsid w:val="005968CE"/>
    <w:rsid w:val="00597F79"/>
    <w:rsid w:val="005A00FF"/>
    <w:rsid w:val="005A2668"/>
    <w:rsid w:val="005A3BFA"/>
    <w:rsid w:val="005A5BDF"/>
    <w:rsid w:val="005A72A1"/>
    <w:rsid w:val="005A772F"/>
    <w:rsid w:val="005A7813"/>
    <w:rsid w:val="005A793F"/>
    <w:rsid w:val="005B01B3"/>
    <w:rsid w:val="005B0B25"/>
    <w:rsid w:val="005B1D21"/>
    <w:rsid w:val="005B35C3"/>
    <w:rsid w:val="005B35EE"/>
    <w:rsid w:val="005B4096"/>
    <w:rsid w:val="005B4157"/>
    <w:rsid w:val="005B6364"/>
    <w:rsid w:val="005B649C"/>
    <w:rsid w:val="005B73C3"/>
    <w:rsid w:val="005B746A"/>
    <w:rsid w:val="005B7E1F"/>
    <w:rsid w:val="005C03D4"/>
    <w:rsid w:val="005C06F0"/>
    <w:rsid w:val="005C07D9"/>
    <w:rsid w:val="005C1B92"/>
    <w:rsid w:val="005C2921"/>
    <w:rsid w:val="005C368A"/>
    <w:rsid w:val="005C3A69"/>
    <w:rsid w:val="005C47D6"/>
    <w:rsid w:val="005C5944"/>
    <w:rsid w:val="005C64DC"/>
    <w:rsid w:val="005C70AA"/>
    <w:rsid w:val="005C75C0"/>
    <w:rsid w:val="005D036E"/>
    <w:rsid w:val="005D3509"/>
    <w:rsid w:val="005D49D7"/>
    <w:rsid w:val="005D55A5"/>
    <w:rsid w:val="005D6D20"/>
    <w:rsid w:val="005D70B4"/>
    <w:rsid w:val="005E0F80"/>
    <w:rsid w:val="005E1025"/>
    <w:rsid w:val="005E132A"/>
    <w:rsid w:val="005E21B8"/>
    <w:rsid w:val="005E28BC"/>
    <w:rsid w:val="005E2FCA"/>
    <w:rsid w:val="005E3C8A"/>
    <w:rsid w:val="005E5B7B"/>
    <w:rsid w:val="005E6D2C"/>
    <w:rsid w:val="005F1950"/>
    <w:rsid w:val="005F2802"/>
    <w:rsid w:val="005F2CC6"/>
    <w:rsid w:val="005F3A28"/>
    <w:rsid w:val="005F41B3"/>
    <w:rsid w:val="005F51AD"/>
    <w:rsid w:val="005F5B33"/>
    <w:rsid w:val="005F617A"/>
    <w:rsid w:val="005F6F18"/>
    <w:rsid w:val="005F6F72"/>
    <w:rsid w:val="005F7A4E"/>
    <w:rsid w:val="0060225E"/>
    <w:rsid w:val="006026C9"/>
    <w:rsid w:val="006026FF"/>
    <w:rsid w:val="00602FAF"/>
    <w:rsid w:val="00604584"/>
    <w:rsid w:val="0060494A"/>
    <w:rsid w:val="00604FF1"/>
    <w:rsid w:val="0060544E"/>
    <w:rsid w:val="00605E31"/>
    <w:rsid w:val="00606231"/>
    <w:rsid w:val="0060649A"/>
    <w:rsid w:val="006064F6"/>
    <w:rsid w:val="0061153A"/>
    <w:rsid w:val="00611757"/>
    <w:rsid w:val="00611D98"/>
    <w:rsid w:val="00615124"/>
    <w:rsid w:val="00615328"/>
    <w:rsid w:val="006172C0"/>
    <w:rsid w:val="00620225"/>
    <w:rsid w:val="006214CA"/>
    <w:rsid w:val="00624BD0"/>
    <w:rsid w:val="00625156"/>
    <w:rsid w:val="006252C5"/>
    <w:rsid w:val="00626174"/>
    <w:rsid w:val="00627307"/>
    <w:rsid w:val="00627BF5"/>
    <w:rsid w:val="006300C4"/>
    <w:rsid w:val="006301C1"/>
    <w:rsid w:val="0063156C"/>
    <w:rsid w:val="00632DB2"/>
    <w:rsid w:val="0063329C"/>
    <w:rsid w:val="00635BE8"/>
    <w:rsid w:val="00635C5E"/>
    <w:rsid w:val="00637240"/>
    <w:rsid w:val="0063743E"/>
    <w:rsid w:val="00637866"/>
    <w:rsid w:val="006419F1"/>
    <w:rsid w:val="0064212F"/>
    <w:rsid w:val="0064263A"/>
    <w:rsid w:val="006453FF"/>
    <w:rsid w:val="0064555B"/>
    <w:rsid w:val="0064567A"/>
    <w:rsid w:val="00645E31"/>
    <w:rsid w:val="0064615F"/>
    <w:rsid w:val="00651292"/>
    <w:rsid w:val="00651BA1"/>
    <w:rsid w:val="00652311"/>
    <w:rsid w:val="006537B1"/>
    <w:rsid w:val="00653A6F"/>
    <w:rsid w:val="00653EC3"/>
    <w:rsid w:val="00654006"/>
    <w:rsid w:val="006546B4"/>
    <w:rsid w:val="00654A76"/>
    <w:rsid w:val="00655CFF"/>
    <w:rsid w:val="006566DB"/>
    <w:rsid w:val="0066045D"/>
    <w:rsid w:val="006626B5"/>
    <w:rsid w:val="00662AEC"/>
    <w:rsid w:val="00662DB0"/>
    <w:rsid w:val="006632A6"/>
    <w:rsid w:val="006637D6"/>
    <w:rsid w:val="00664B86"/>
    <w:rsid w:val="006663D7"/>
    <w:rsid w:val="006666B9"/>
    <w:rsid w:val="00666F07"/>
    <w:rsid w:val="006675DF"/>
    <w:rsid w:val="006675E4"/>
    <w:rsid w:val="00667ED5"/>
    <w:rsid w:val="006700E2"/>
    <w:rsid w:val="00672120"/>
    <w:rsid w:val="00672DC2"/>
    <w:rsid w:val="00673179"/>
    <w:rsid w:val="00674524"/>
    <w:rsid w:val="00676916"/>
    <w:rsid w:val="00676F06"/>
    <w:rsid w:val="00677DFD"/>
    <w:rsid w:val="0068065E"/>
    <w:rsid w:val="00680E87"/>
    <w:rsid w:val="006818EF"/>
    <w:rsid w:val="00681B7F"/>
    <w:rsid w:val="00682422"/>
    <w:rsid w:val="0068278C"/>
    <w:rsid w:val="006830DE"/>
    <w:rsid w:val="00685268"/>
    <w:rsid w:val="006857E7"/>
    <w:rsid w:val="00686D99"/>
    <w:rsid w:val="00686DE5"/>
    <w:rsid w:val="00686E05"/>
    <w:rsid w:val="006870E1"/>
    <w:rsid w:val="00691535"/>
    <w:rsid w:val="006921F9"/>
    <w:rsid w:val="00694301"/>
    <w:rsid w:val="006954FD"/>
    <w:rsid w:val="006958BE"/>
    <w:rsid w:val="00697053"/>
    <w:rsid w:val="00697456"/>
    <w:rsid w:val="0069745D"/>
    <w:rsid w:val="006A0FC8"/>
    <w:rsid w:val="006A121A"/>
    <w:rsid w:val="006A1FB1"/>
    <w:rsid w:val="006A395E"/>
    <w:rsid w:val="006A4A22"/>
    <w:rsid w:val="006A4E45"/>
    <w:rsid w:val="006A511B"/>
    <w:rsid w:val="006A53BB"/>
    <w:rsid w:val="006A7500"/>
    <w:rsid w:val="006A7F98"/>
    <w:rsid w:val="006B0ED7"/>
    <w:rsid w:val="006B1F64"/>
    <w:rsid w:val="006B3284"/>
    <w:rsid w:val="006B38F3"/>
    <w:rsid w:val="006B52EB"/>
    <w:rsid w:val="006C2009"/>
    <w:rsid w:val="006C4C54"/>
    <w:rsid w:val="006C4D6A"/>
    <w:rsid w:val="006C51FA"/>
    <w:rsid w:val="006C58CA"/>
    <w:rsid w:val="006C6754"/>
    <w:rsid w:val="006C67A7"/>
    <w:rsid w:val="006D04E8"/>
    <w:rsid w:val="006D0D23"/>
    <w:rsid w:val="006D12D6"/>
    <w:rsid w:val="006D6C50"/>
    <w:rsid w:val="006E0152"/>
    <w:rsid w:val="006E0754"/>
    <w:rsid w:val="006E3108"/>
    <w:rsid w:val="006E4120"/>
    <w:rsid w:val="006E4654"/>
    <w:rsid w:val="006E4CE6"/>
    <w:rsid w:val="006E682E"/>
    <w:rsid w:val="006E68D3"/>
    <w:rsid w:val="006E7168"/>
    <w:rsid w:val="006E76EB"/>
    <w:rsid w:val="006F0651"/>
    <w:rsid w:val="006F0870"/>
    <w:rsid w:val="006F10FF"/>
    <w:rsid w:val="006F20D4"/>
    <w:rsid w:val="006F499C"/>
    <w:rsid w:val="006F6FDA"/>
    <w:rsid w:val="006F75C6"/>
    <w:rsid w:val="00700357"/>
    <w:rsid w:val="00701DCB"/>
    <w:rsid w:val="00702865"/>
    <w:rsid w:val="007028CF"/>
    <w:rsid w:val="00703704"/>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6517"/>
    <w:rsid w:val="007170EA"/>
    <w:rsid w:val="00717D02"/>
    <w:rsid w:val="00720D64"/>
    <w:rsid w:val="007213D1"/>
    <w:rsid w:val="00721703"/>
    <w:rsid w:val="00721DD8"/>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68D7"/>
    <w:rsid w:val="00747358"/>
    <w:rsid w:val="00747402"/>
    <w:rsid w:val="007474FA"/>
    <w:rsid w:val="007479C9"/>
    <w:rsid w:val="00750681"/>
    <w:rsid w:val="00750ECD"/>
    <w:rsid w:val="0075186D"/>
    <w:rsid w:val="007542D6"/>
    <w:rsid w:val="007548EC"/>
    <w:rsid w:val="007549A9"/>
    <w:rsid w:val="0075505F"/>
    <w:rsid w:val="00755769"/>
    <w:rsid w:val="007567E3"/>
    <w:rsid w:val="00757A37"/>
    <w:rsid w:val="00760FE4"/>
    <w:rsid w:val="007611F5"/>
    <w:rsid w:val="00761429"/>
    <w:rsid w:val="00761A75"/>
    <w:rsid w:val="00764A51"/>
    <w:rsid w:val="00766DA2"/>
    <w:rsid w:val="007700E0"/>
    <w:rsid w:val="0077050E"/>
    <w:rsid w:val="0077085B"/>
    <w:rsid w:val="007713C6"/>
    <w:rsid w:val="00772694"/>
    <w:rsid w:val="00773014"/>
    <w:rsid w:val="00773335"/>
    <w:rsid w:val="00774089"/>
    <w:rsid w:val="00774896"/>
    <w:rsid w:val="00774A52"/>
    <w:rsid w:val="00775038"/>
    <w:rsid w:val="00780DFB"/>
    <w:rsid w:val="00781DDD"/>
    <w:rsid w:val="007829B6"/>
    <w:rsid w:val="00782B20"/>
    <w:rsid w:val="00783860"/>
    <w:rsid w:val="00785FA5"/>
    <w:rsid w:val="00786ABA"/>
    <w:rsid w:val="00787541"/>
    <w:rsid w:val="00787A18"/>
    <w:rsid w:val="00791D29"/>
    <w:rsid w:val="00795BBE"/>
    <w:rsid w:val="0079641C"/>
    <w:rsid w:val="00796AF9"/>
    <w:rsid w:val="00796C6F"/>
    <w:rsid w:val="00797160"/>
    <w:rsid w:val="007A1477"/>
    <w:rsid w:val="007A1F9F"/>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1BA9"/>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02C"/>
    <w:rsid w:val="007D5AF8"/>
    <w:rsid w:val="007E1220"/>
    <w:rsid w:val="007E1324"/>
    <w:rsid w:val="007E3100"/>
    <w:rsid w:val="007E50BF"/>
    <w:rsid w:val="007E584C"/>
    <w:rsid w:val="007E60E4"/>
    <w:rsid w:val="007E6E6D"/>
    <w:rsid w:val="007E7B29"/>
    <w:rsid w:val="007F05D3"/>
    <w:rsid w:val="007F0736"/>
    <w:rsid w:val="007F4681"/>
    <w:rsid w:val="007F4EF0"/>
    <w:rsid w:val="007F5DE0"/>
    <w:rsid w:val="007F7031"/>
    <w:rsid w:val="007F7055"/>
    <w:rsid w:val="007F7DEA"/>
    <w:rsid w:val="0080133C"/>
    <w:rsid w:val="008015E9"/>
    <w:rsid w:val="00805358"/>
    <w:rsid w:val="0080586D"/>
    <w:rsid w:val="00805FB7"/>
    <w:rsid w:val="00810463"/>
    <w:rsid w:val="0081075B"/>
    <w:rsid w:val="00810FCE"/>
    <w:rsid w:val="0081225D"/>
    <w:rsid w:val="0081233F"/>
    <w:rsid w:val="00814E0E"/>
    <w:rsid w:val="00814EFC"/>
    <w:rsid w:val="00815746"/>
    <w:rsid w:val="00816048"/>
    <w:rsid w:val="00817C05"/>
    <w:rsid w:val="00820638"/>
    <w:rsid w:val="008226CC"/>
    <w:rsid w:val="008238DD"/>
    <w:rsid w:val="00827088"/>
    <w:rsid w:val="00827F74"/>
    <w:rsid w:val="00830E7D"/>
    <w:rsid w:val="00833C25"/>
    <w:rsid w:val="008340EC"/>
    <w:rsid w:val="00836FA0"/>
    <w:rsid w:val="00840BE7"/>
    <w:rsid w:val="0084205F"/>
    <w:rsid w:val="00842098"/>
    <w:rsid w:val="008427C6"/>
    <w:rsid w:val="0084307B"/>
    <w:rsid w:val="008434F5"/>
    <w:rsid w:val="00843BE0"/>
    <w:rsid w:val="008460BE"/>
    <w:rsid w:val="00846391"/>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0D87"/>
    <w:rsid w:val="00871EDD"/>
    <w:rsid w:val="0087225D"/>
    <w:rsid w:val="008740EF"/>
    <w:rsid w:val="00875E00"/>
    <w:rsid w:val="008814E1"/>
    <w:rsid w:val="00881F1C"/>
    <w:rsid w:val="00883F93"/>
    <w:rsid w:val="008856E2"/>
    <w:rsid w:val="00886CCA"/>
    <w:rsid w:val="00887230"/>
    <w:rsid w:val="00891CB8"/>
    <w:rsid w:val="008924E5"/>
    <w:rsid w:val="00894122"/>
    <w:rsid w:val="0089432E"/>
    <w:rsid w:val="008947D9"/>
    <w:rsid w:val="008955E8"/>
    <w:rsid w:val="00895F26"/>
    <w:rsid w:val="00895FB8"/>
    <w:rsid w:val="008960BC"/>
    <w:rsid w:val="00896308"/>
    <w:rsid w:val="00897994"/>
    <w:rsid w:val="00897C68"/>
    <w:rsid w:val="00897D1A"/>
    <w:rsid w:val="008A0D88"/>
    <w:rsid w:val="008A1226"/>
    <w:rsid w:val="008A1355"/>
    <w:rsid w:val="008A14BB"/>
    <w:rsid w:val="008A1524"/>
    <w:rsid w:val="008A1C80"/>
    <w:rsid w:val="008A1DD3"/>
    <w:rsid w:val="008A2172"/>
    <w:rsid w:val="008A2309"/>
    <w:rsid w:val="008A366E"/>
    <w:rsid w:val="008A3FA5"/>
    <w:rsid w:val="008A416C"/>
    <w:rsid w:val="008A6A6A"/>
    <w:rsid w:val="008B0A1E"/>
    <w:rsid w:val="008B20E9"/>
    <w:rsid w:val="008B2CFF"/>
    <w:rsid w:val="008B35E7"/>
    <w:rsid w:val="008B4072"/>
    <w:rsid w:val="008B4DD8"/>
    <w:rsid w:val="008B6114"/>
    <w:rsid w:val="008B7441"/>
    <w:rsid w:val="008B7506"/>
    <w:rsid w:val="008C1198"/>
    <w:rsid w:val="008C178D"/>
    <w:rsid w:val="008C3030"/>
    <w:rsid w:val="008C316A"/>
    <w:rsid w:val="008C32C5"/>
    <w:rsid w:val="008C34EC"/>
    <w:rsid w:val="008C38B5"/>
    <w:rsid w:val="008C3CE5"/>
    <w:rsid w:val="008C50E1"/>
    <w:rsid w:val="008C51B0"/>
    <w:rsid w:val="008D1098"/>
    <w:rsid w:val="008D24CC"/>
    <w:rsid w:val="008D5CF0"/>
    <w:rsid w:val="008D65C6"/>
    <w:rsid w:val="008D7DB7"/>
    <w:rsid w:val="008E01E5"/>
    <w:rsid w:val="008E468C"/>
    <w:rsid w:val="008E493E"/>
    <w:rsid w:val="008E6BA3"/>
    <w:rsid w:val="008E7DF1"/>
    <w:rsid w:val="008F02D6"/>
    <w:rsid w:val="008F0866"/>
    <w:rsid w:val="008F0A72"/>
    <w:rsid w:val="008F1D42"/>
    <w:rsid w:val="008F4011"/>
    <w:rsid w:val="008F5F18"/>
    <w:rsid w:val="008F7115"/>
    <w:rsid w:val="008F796D"/>
    <w:rsid w:val="00900154"/>
    <w:rsid w:val="009001B6"/>
    <w:rsid w:val="0090356F"/>
    <w:rsid w:val="009041FE"/>
    <w:rsid w:val="00904576"/>
    <w:rsid w:val="00905EB0"/>
    <w:rsid w:val="00905ECF"/>
    <w:rsid w:val="0090687E"/>
    <w:rsid w:val="009077B8"/>
    <w:rsid w:val="0091032B"/>
    <w:rsid w:val="00911C56"/>
    <w:rsid w:val="00911F91"/>
    <w:rsid w:val="00912376"/>
    <w:rsid w:val="009140B3"/>
    <w:rsid w:val="00914DA4"/>
    <w:rsid w:val="00915285"/>
    <w:rsid w:val="00916329"/>
    <w:rsid w:val="009169F5"/>
    <w:rsid w:val="009172AE"/>
    <w:rsid w:val="00917419"/>
    <w:rsid w:val="00917641"/>
    <w:rsid w:val="0092092B"/>
    <w:rsid w:val="00921067"/>
    <w:rsid w:val="00921BBA"/>
    <w:rsid w:val="00923CBD"/>
    <w:rsid w:val="009245C9"/>
    <w:rsid w:val="00926CB3"/>
    <w:rsid w:val="0093096D"/>
    <w:rsid w:val="00933F99"/>
    <w:rsid w:val="00934E5A"/>
    <w:rsid w:val="009350F3"/>
    <w:rsid w:val="00935B3E"/>
    <w:rsid w:val="00940088"/>
    <w:rsid w:val="00940AC7"/>
    <w:rsid w:val="0094174F"/>
    <w:rsid w:val="009417EB"/>
    <w:rsid w:val="00943573"/>
    <w:rsid w:val="009444A8"/>
    <w:rsid w:val="0094473F"/>
    <w:rsid w:val="009457CF"/>
    <w:rsid w:val="009462E2"/>
    <w:rsid w:val="00946C75"/>
    <w:rsid w:val="00947951"/>
    <w:rsid w:val="00947D09"/>
    <w:rsid w:val="009502E3"/>
    <w:rsid w:val="00952EB9"/>
    <w:rsid w:val="00955D3B"/>
    <w:rsid w:val="009569AA"/>
    <w:rsid w:val="009569B1"/>
    <w:rsid w:val="00956D72"/>
    <w:rsid w:val="009573B2"/>
    <w:rsid w:val="009579A6"/>
    <w:rsid w:val="0096434A"/>
    <w:rsid w:val="00965897"/>
    <w:rsid w:val="009727B8"/>
    <w:rsid w:val="009730BA"/>
    <w:rsid w:val="00973147"/>
    <w:rsid w:val="00975238"/>
    <w:rsid w:val="00975D5B"/>
    <w:rsid w:val="00976B3D"/>
    <w:rsid w:val="00976EF8"/>
    <w:rsid w:val="00980F59"/>
    <w:rsid w:val="0098127E"/>
    <w:rsid w:val="009840CB"/>
    <w:rsid w:val="0098439B"/>
    <w:rsid w:val="009871BA"/>
    <w:rsid w:val="00987550"/>
    <w:rsid w:val="00991A48"/>
    <w:rsid w:val="00992CE5"/>
    <w:rsid w:val="00992D41"/>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176F"/>
    <w:rsid w:val="009C1FE1"/>
    <w:rsid w:val="009C2DFD"/>
    <w:rsid w:val="009C2E55"/>
    <w:rsid w:val="009C38A4"/>
    <w:rsid w:val="009C3D89"/>
    <w:rsid w:val="009C3E41"/>
    <w:rsid w:val="009C4AE7"/>
    <w:rsid w:val="009C4C43"/>
    <w:rsid w:val="009C652C"/>
    <w:rsid w:val="009C6F72"/>
    <w:rsid w:val="009C74C1"/>
    <w:rsid w:val="009D028B"/>
    <w:rsid w:val="009D286B"/>
    <w:rsid w:val="009D52E3"/>
    <w:rsid w:val="009D5333"/>
    <w:rsid w:val="009E05FC"/>
    <w:rsid w:val="009E1A65"/>
    <w:rsid w:val="009E2089"/>
    <w:rsid w:val="009E4F06"/>
    <w:rsid w:val="009E7382"/>
    <w:rsid w:val="009F1724"/>
    <w:rsid w:val="009F1BBF"/>
    <w:rsid w:val="009F1F10"/>
    <w:rsid w:val="009F2F8B"/>
    <w:rsid w:val="009F3B76"/>
    <w:rsid w:val="009F5B1F"/>
    <w:rsid w:val="009F721D"/>
    <w:rsid w:val="00A00727"/>
    <w:rsid w:val="00A01BA0"/>
    <w:rsid w:val="00A035C5"/>
    <w:rsid w:val="00A0419E"/>
    <w:rsid w:val="00A07046"/>
    <w:rsid w:val="00A076EE"/>
    <w:rsid w:val="00A07801"/>
    <w:rsid w:val="00A124BA"/>
    <w:rsid w:val="00A130D6"/>
    <w:rsid w:val="00A13BA9"/>
    <w:rsid w:val="00A1410A"/>
    <w:rsid w:val="00A14CA3"/>
    <w:rsid w:val="00A15C78"/>
    <w:rsid w:val="00A16570"/>
    <w:rsid w:val="00A16E28"/>
    <w:rsid w:val="00A172E8"/>
    <w:rsid w:val="00A1746A"/>
    <w:rsid w:val="00A21443"/>
    <w:rsid w:val="00A22375"/>
    <w:rsid w:val="00A22802"/>
    <w:rsid w:val="00A229B0"/>
    <w:rsid w:val="00A240E8"/>
    <w:rsid w:val="00A242F3"/>
    <w:rsid w:val="00A25638"/>
    <w:rsid w:val="00A26498"/>
    <w:rsid w:val="00A26C17"/>
    <w:rsid w:val="00A2790D"/>
    <w:rsid w:val="00A30765"/>
    <w:rsid w:val="00A31820"/>
    <w:rsid w:val="00A31B60"/>
    <w:rsid w:val="00A32CAB"/>
    <w:rsid w:val="00A32E9A"/>
    <w:rsid w:val="00A3344E"/>
    <w:rsid w:val="00A344D2"/>
    <w:rsid w:val="00A35FEF"/>
    <w:rsid w:val="00A40045"/>
    <w:rsid w:val="00A40EC7"/>
    <w:rsid w:val="00A41774"/>
    <w:rsid w:val="00A42A25"/>
    <w:rsid w:val="00A430C7"/>
    <w:rsid w:val="00A431F6"/>
    <w:rsid w:val="00A4388A"/>
    <w:rsid w:val="00A43B0B"/>
    <w:rsid w:val="00A4624C"/>
    <w:rsid w:val="00A46633"/>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446"/>
    <w:rsid w:val="00A72826"/>
    <w:rsid w:val="00A72E52"/>
    <w:rsid w:val="00A72ECE"/>
    <w:rsid w:val="00A756FD"/>
    <w:rsid w:val="00A767B3"/>
    <w:rsid w:val="00A806BA"/>
    <w:rsid w:val="00A808FD"/>
    <w:rsid w:val="00A813D2"/>
    <w:rsid w:val="00A84831"/>
    <w:rsid w:val="00A85B38"/>
    <w:rsid w:val="00A87C40"/>
    <w:rsid w:val="00A9014A"/>
    <w:rsid w:val="00A90DF4"/>
    <w:rsid w:val="00A910AD"/>
    <w:rsid w:val="00A91ADE"/>
    <w:rsid w:val="00A92A2F"/>
    <w:rsid w:val="00A92ACE"/>
    <w:rsid w:val="00A939C0"/>
    <w:rsid w:val="00A93AA3"/>
    <w:rsid w:val="00A94A58"/>
    <w:rsid w:val="00A94B67"/>
    <w:rsid w:val="00A963A4"/>
    <w:rsid w:val="00AA15C1"/>
    <w:rsid w:val="00AA1806"/>
    <w:rsid w:val="00AA1ABE"/>
    <w:rsid w:val="00AA2531"/>
    <w:rsid w:val="00AA25BB"/>
    <w:rsid w:val="00AA2A1B"/>
    <w:rsid w:val="00AA2AC4"/>
    <w:rsid w:val="00AA4284"/>
    <w:rsid w:val="00AA5EC7"/>
    <w:rsid w:val="00AA7645"/>
    <w:rsid w:val="00AA7703"/>
    <w:rsid w:val="00AB0390"/>
    <w:rsid w:val="00AB1576"/>
    <w:rsid w:val="00AB1B67"/>
    <w:rsid w:val="00AB34E8"/>
    <w:rsid w:val="00AB375F"/>
    <w:rsid w:val="00AB4242"/>
    <w:rsid w:val="00AB48A9"/>
    <w:rsid w:val="00AB4E52"/>
    <w:rsid w:val="00AB59A9"/>
    <w:rsid w:val="00AB6542"/>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E7EA8"/>
    <w:rsid w:val="00AF001B"/>
    <w:rsid w:val="00AF09C0"/>
    <w:rsid w:val="00AF186B"/>
    <w:rsid w:val="00AF19AA"/>
    <w:rsid w:val="00AF2E60"/>
    <w:rsid w:val="00AF4CDD"/>
    <w:rsid w:val="00AF5554"/>
    <w:rsid w:val="00AF6DBC"/>
    <w:rsid w:val="00B0224E"/>
    <w:rsid w:val="00B039CA"/>
    <w:rsid w:val="00B04287"/>
    <w:rsid w:val="00B0535F"/>
    <w:rsid w:val="00B05A01"/>
    <w:rsid w:val="00B06226"/>
    <w:rsid w:val="00B066F0"/>
    <w:rsid w:val="00B06B81"/>
    <w:rsid w:val="00B073B4"/>
    <w:rsid w:val="00B07E22"/>
    <w:rsid w:val="00B103F8"/>
    <w:rsid w:val="00B1135D"/>
    <w:rsid w:val="00B11897"/>
    <w:rsid w:val="00B12376"/>
    <w:rsid w:val="00B16580"/>
    <w:rsid w:val="00B2024A"/>
    <w:rsid w:val="00B20A82"/>
    <w:rsid w:val="00B20C52"/>
    <w:rsid w:val="00B21CB6"/>
    <w:rsid w:val="00B22219"/>
    <w:rsid w:val="00B224BA"/>
    <w:rsid w:val="00B2444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9CE"/>
    <w:rsid w:val="00B47EEB"/>
    <w:rsid w:val="00B50310"/>
    <w:rsid w:val="00B5055E"/>
    <w:rsid w:val="00B51236"/>
    <w:rsid w:val="00B516D4"/>
    <w:rsid w:val="00B51DEA"/>
    <w:rsid w:val="00B51E25"/>
    <w:rsid w:val="00B52E3F"/>
    <w:rsid w:val="00B5314F"/>
    <w:rsid w:val="00B53A28"/>
    <w:rsid w:val="00B54519"/>
    <w:rsid w:val="00B54526"/>
    <w:rsid w:val="00B54D7A"/>
    <w:rsid w:val="00B55914"/>
    <w:rsid w:val="00B5622E"/>
    <w:rsid w:val="00B60084"/>
    <w:rsid w:val="00B60294"/>
    <w:rsid w:val="00B60C19"/>
    <w:rsid w:val="00B62E79"/>
    <w:rsid w:val="00B62E8C"/>
    <w:rsid w:val="00B649AD"/>
    <w:rsid w:val="00B65AC2"/>
    <w:rsid w:val="00B661EF"/>
    <w:rsid w:val="00B6666F"/>
    <w:rsid w:val="00B6698B"/>
    <w:rsid w:val="00B71B5F"/>
    <w:rsid w:val="00B71CC7"/>
    <w:rsid w:val="00B7235E"/>
    <w:rsid w:val="00B7565A"/>
    <w:rsid w:val="00B760E3"/>
    <w:rsid w:val="00B76111"/>
    <w:rsid w:val="00B771E2"/>
    <w:rsid w:val="00B77211"/>
    <w:rsid w:val="00B7770D"/>
    <w:rsid w:val="00B7771A"/>
    <w:rsid w:val="00B80ECF"/>
    <w:rsid w:val="00B81E2C"/>
    <w:rsid w:val="00B81E4D"/>
    <w:rsid w:val="00B83B59"/>
    <w:rsid w:val="00B84366"/>
    <w:rsid w:val="00B84C8E"/>
    <w:rsid w:val="00B85D7D"/>
    <w:rsid w:val="00B908F7"/>
    <w:rsid w:val="00B92AF9"/>
    <w:rsid w:val="00B94730"/>
    <w:rsid w:val="00B94D6C"/>
    <w:rsid w:val="00B95CA2"/>
    <w:rsid w:val="00B97918"/>
    <w:rsid w:val="00BA0192"/>
    <w:rsid w:val="00BA2388"/>
    <w:rsid w:val="00BA4284"/>
    <w:rsid w:val="00BA7F11"/>
    <w:rsid w:val="00BB1B11"/>
    <w:rsid w:val="00BB1EBE"/>
    <w:rsid w:val="00BB2289"/>
    <w:rsid w:val="00BB2EB8"/>
    <w:rsid w:val="00BB3351"/>
    <w:rsid w:val="00BB35BC"/>
    <w:rsid w:val="00BB42E0"/>
    <w:rsid w:val="00BB4BAC"/>
    <w:rsid w:val="00BB4C7F"/>
    <w:rsid w:val="00BB5EF7"/>
    <w:rsid w:val="00BB6701"/>
    <w:rsid w:val="00BC1298"/>
    <w:rsid w:val="00BC1A33"/>
    <w:rsid w:val="00BC2757"/>
    <w:rsid w:val="00BC2E21"/>
    <w:rsid w:val="00BC3A80"/>
    <w:rsid w:val="00BC409F"/>
    <w:rsid w:val="00BC510D"/>
    <w:rsid w:val="00BC5C66"/>
    <w:rsid w:val="00BC6208"/>
    <w:rsid w:val="00BC65C2"/>
    <w:rsid w:val="00BD01AA"/>
    <w:rsid w:val="00BD06CA"/>
    <w:rsid w:val="00BD1E05"/>
    <w:rsid w:val="00BD472A"/>
    <w:rsid w:val="00BD6BC0"/>
    <w:rsid w:val="00BD77B6"/>
    <w:rsid w:val="00BE121F"/>
    <w:rsid w:val="00BE1825"/>
    <w:rsid w:val="00BE256D"/>
    <w:rsid w:val="00BE3C8F"/>
    <w:rsid w:val="00BE3CC3"/>
    <w:rsid w:val="00BE4512"/>
    <w:rsid w:val="00BE4813"/>
    <w:rsid w:val="00BE4934"/>
    <w:rsid w:val="00BE5ABF"/>
    <w:rsid w:val="00BE5C52"/>
    <w:rsid w:val="00BE62FA"/>
    <w:rsid w:val="00BE6E75"/>
    <w:rsid w:val="00BE71FB"/>
    <w:rsid w:val="00BE72AE"/>
    <w:rsid w:val="00BF01DD"/>
    <w:rsid w:val="00BF0AD8"/>
    <w:rsid w:val="00BF0C6D"/>
    <w:rsid w:val="00BF3B55"/>
    <w:rsid w:val="00BF533B"/>
    <w:rsid w:val="00BF5765"/>
    <w:rsid w:val="00BF5F4A"/>
    <w:rsid w:val="00BF64CC"/>
    <w:rsid w:val="00BF6C5B"/>
    <w:rsid w:val="00BF73EE"/>
    <w:rsid w:val="00C00018"/>
    <w:rsid w:val="00C003E4"/>
    <w:rsid w:val="00C05039"/>
    <w:rsid w:val="00C07474"/>
    <w:rsid w:val="00C07E15"/>
    <w:rsid w:val="00C1086F"/>
    <w:rsid w:val="00C10929"/>
    <w:rsid w:val="00C10DE5"/>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D84"/>
    <w:rsid w:val="00C35EEA"/>
    <w:rsid w:val="00C36160"/>
    <w:rsid w:val="00C3682B"/>
    <w:rsid w:val="00C37CB6"/>
    <w:rsid w:val="00C40A9F"/>
    <w:rsid w:val="00C44359"/>
    <w:rsid w:val="00C45471"/>
    <w:rsid w:val="00C45A5E"/>
    <w:rsid w:val="00C45ADC"/>
    <w:rsid w:val="00C460DD"/>
    <w:rsid w:val="00C460F2"/>
    <w:rsid w:val="00C46942"/>
    <w:rsid w:val="00C51E2D"/>
    <w:rsid w:val="00C52EEE"/>
    <w:rsid w:val="00C53344"/>
    <w:rsid w:val="00C5366D"/>
    <w:rsid w:val="00C538F7"/>
    <w:rsid w:val="00C53A84"/>
    <w:rsid w:val="00C53E2B"/>
    <w:rsid w:val="00C54537"/>
    <w:rsid w:val="00C54E58"/>
    <w:rsid w:val="00C550B3"/>
    <w:rsid w:val="00C57B95"/>
    <w:rsid w:val="00C624BF"/>
    <w:rsid w:val="00C629DA"/>
    <w:rsid w:val="00C62CC7"/>
    <w:rsid w:val="00C6304E"/>
    <w:rsid w:val="00C65095"/>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562"/>
    <w:rsid w:val="00C81907"/>
    <w:rsid w:val="00C822CD"/>
    <w:rsid w:val="00C82B21"/>
    <w:rsid w:val="00C86867"/>
    <w:rsid w:val="00C86B57"/>
    <w:rsid w:val="00C86CD0"/>
    <w:rsid w:val="00C86DD1"/>
    <w:rsid w:val="00C86E22"/>
    <w:rsid w:val="00C86ED6"/>
    <w:rsid w:val="00C87957"/>
    <w:rsid w:val="00C90357"/>
    <w:rsid w:val="00C90BF7"/>
    <w:rsid w:val="00C91F10"/>
    <w:rsid w:val="00C938A2"/>
    <w:rsid w:val="00C93AE1"/>
    <w:rsid w:val="00C9472C"/>
    <w:rsid w:val="00C96991"/>
    <w:rsid w:val="00C97163"/>
    <w:rsid w:val="00C972DB"/>
    <w:rsid w:val="00CA27B7"/>
    <w:rsid w:val="00CA3D7A"/>
    <w:rsid w:val="00CA5884"/>
    <w:rsid w:val="00CA6098"/>
    <w:rsid w:val="00CA63A3"/>
    <w:rsid w:val="00CA6A41"/>
    <w:rsid w:val="00CA768F"/>
    <w:rsid w:val="00CB0AEB"/>
    <w:rsid w:val="00CB290F"/>
    <w:rsid w:val="00CB2CB8"/>
    <w:rsid w:val="00CB31C6"/>
    <w:rsid w:val="00CB4945"/>
    <w:rsid w:val="00CB5687"/>
    <w:rsid w:val="00CB574E"/>
    <w:rsid w:val="00CB6B4A"/>
    <w:rsid w:val="00CC0F9B"/>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0CEE"/>
    <w:rsid w:val="00CE12F7"/>
    <w:rsid w:val="00CE18BD"/>
    <w:rsid w:val="00CE1A79"/>
    <w:rsid w:val="00CE1DCE"/>
    <w:rsid w:val="00CE52FA"/>
    <w:rsid w:val="00CE5C9D"/>
    <w:rsid w:val="00CE5F82"/>
    <w:rsid w:val="00CE6107"/>
    <w:rsid w:val="00CE7861"/>
    <w:rsid w:val="00CF1789"/>
    <w:rsid w:val="00CF1A3F"/>
    <w:rsid w:val="00CF211E"/>
    <w:rsid w:val="00CF2330"/>
    <w:rsid w:val="00CF2616"/>
    <w:rsid w:val="00CF357F"/>
    <w:rsid w:val="00CF3CC7"/>
    <w:rsid w:val="00CF4825"/>
    <w:rsid w:val="00CF540B"/>
    <w:rsid w:val="00CF5B74"/>
    <w:rsid w:val="00CF5B99"/>
    <w:rsid w:val="00CF5EAE"/>
    <w:rsid w:val="00CF7A9F"/>
    <w:rsid w:val="00D01A91"/>
    <w:rsid w:val="00D01EB3"/>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16094"/>
    <w:rsid w:val="00D16E1E"/>
    <w:rsid w:val="00D2098D"/>
    <w:rsid w:val="00D225A8"/>
    <w:rsid w:val="00D262F6"/>
    <w:rsid w:val="00D27612"/>
    <w:rsid w:val="00D27BA0"/>
    <w:rsid w:val="00D27E27"/>
    <w:rsid w:val="00D30A38"/>
    <w:rsid w:val="00D33C79"/>
    <w:rsid w:val="00D344A2"/>
    <w:rsid w:val="00D37FFE"/>
    <w:rsid w:val="00D40B46"/>
    <w:rsid w:val="00D40E37"/>
    <w:rsid w:val="00D40FD6"/>
    <w:rsid w:val="00D41AA2"/>
    <w:rsid w:val="00D4232E"/>
    <w:rsid w:val="00D43E4C"/>
    <w:rsid w:val="00D44939"/>
    <w:rsid w:val="00D46C06"/>
    <w:rsid w:val="00D470B6"/>
    <w:rsid w:val="00D473FA"/>
    <w:rsid w:val="00D51754"/>
    <w:rsid w:val="00D51ADD"/>
    <w:rsid w:val="00D51DEB"/>
    <w:rsid w:val="00D53048"/>
    <w:rsid w:val="00D547B0"/>
    <w:rsid w:val="00D5715C"/>
    <w:rsid w:val="00D57ADF"/>
    <w:rsid w:val="00D6059B"/>
    <w:rsid w:val="00D62CE6"/>
    <w:rsid w:val="00D6447A"/>
    <w:rsid w:val="00D64F05"/>
    <w:rsid w:val="00D65E90"/>
    <w:rsid w:val="00D66F08"/>
    <w:rsid w:val="00D66FC9"/>
    <w:rsid w:val="00D67354"/>
    <w:rsid w:val="00D7089B"/>
    <w:rsid w:val="00D72CBB"/>
    <w:rsid w:val="00D73EA7"/>
    <w:rsid w:val="00D7502C"/>
    <w:rsid w:val="00D75BCA"/>
    <w:rsid w:val="00D76588"/>
    <w:rsid w:val="00D77DAF"/>
    <w:rsid w:val="00D80266"/>
    <w:rsid w:val="00D8085A"/>
    <w:rsid w:val="00D80B00"/>
    <w:rsid w:val="00D80D3C"/>
    <w:rsid w:val="00D8139D"/>
    <w:rsid w:val="00D85F25"/>
    <w:rsid w:val="00D90131"/>
    <w:rsid w:val="00D9139B"/>
    <w:rsid w:val="00D914CC"/>
    <w:rsid w:val="00D936CB"/>
    <w:rsid w:val="00D936D0"/>
    <w:rsid w:val="00D94C48"/>
    <w:rsid w:val="00D95D08"/>
    <w:rsid w:val="00D961E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7B3"/>
    <w:rsid w:val="00DB594C"/>
    <w:rsid w:val="00DB6601"/>
    <w:rsid w:val="00DB6C95"/>
    <w:rsid w:val="00DB7244"/>
    <w:rsid w:val="00DC10B0"/>
    <w:rsid w:val="00DC1FB8"/>
    <w:rsid w:val="00DC377E"/>
    <w:rsid w:val="00DC4AD3"/>
    <w:rsid w:val="00DC508F"/>
    <w:rsid w:val="00DC6ECB"/>
    <w:rsid w:val="00DC7845"/>
    <w:rsid w:val="00DD00EC"/>
    <w:rsid w:val="00DD1851"/>
    <w:rsid w:val="00DD1938"/>
    <w:rsid w:val="00DD248E"/>
    <w:rsid w:val="00DD27EA"/>
    <w:rsid w:val="00DD27EE"/>
    <w:rsid w:val="00DD59BE"/>
    <w:rsid w:val="00DD5A3E"/>
    <w:rsid w:val="00DD6168"/>
    <w:rsid w:val="00DD7A29"/>
    <w:rsid w:val="00DD7E83"/>
    <w:rsid w:val="00DE086E"/>
    <w:rsid w:val="00DE088E"/>
    <w:rsid w:val="00DE1D62"/>
    <w:rsid w:val="00DE21D6"/>
    <w:rsid w:val="00DE2526"/>
    <w:rsid w:val="00DE3B9E"/>
    <w:rsid w:val="00DE4CDA"/>
    <w:rsid w:val="00DE54BE"/>
    <w:rsid w:val="00DE5C23"/>
    <w:rsid w:val="00DE62C7"/>
    <w:rsid w:val="00DE6B13"/>
    <w:rsid w:val="00DE784E"/>
    <w:rsid w:val="00DF112D"/>
    <w:rsid w:val="00DF17A2"/>
    <w:rsid w:val="00DF2AF4"/>
    <w:rsid w:val="00DF36C7"/>
    <w:rsid w:val="00DF3BF9"/>
    <w:rsid w:val="00DF43ED"/>
    <w:rsid w:val="00DF6811"/>
    <w:rsid w:val="00DF6A22"/>
    <w:rsid w:val="00DF71C1"/>
    <w:rsid w:val="00DF7F85"/>
    <w:rsid w:val="00E003CC"/>
    <w:rsid w:val="00E01F63"/>
    <w:rsid w:val="00E025F6"/>
    <w:rsid w:val="00E0279C"/>
    <w:rsid w:val="00E0344C"/>
    <w:rsid w:val="00E04444"/>
    <w:rsid w:val="00E04FB7"/>
    <w:rsid w:val="00E0656A"/>
    <w:rsid w:val="00E0780D"/>
    <w:rsid w:val="00E07EE7"/>
    <w:rsid w:val="00E10F78"/>
    <w:rsid w:val="00E120AE"/>
    <w:rsid w:val="00E126EA"/>
    <w:rsid w:val="00E12AAE"/>
    <w:rsid w:val="00E152B1"/>
    <w:rsid w:val="00E15791"/>
    <w:rsid w:val="00E166BD"/>
    <w:rsid w:val="00E17111"/>
    <w:rsid w:val="00E17235"/>
    <w:rsid w:val="00E17704"/>
    <w:rsid w:val="00E2069F"/>
    <w:rsid w:val="00E239B2"/>
    <w:rsid w:val="00E23E4B"/>
    <w:rsid w:val="00E264FA"/>
    <w:rsid w:val="00E26F2F"/>
    <w:rsid w:val="00E27334"/>
    <w:rsid w:val="00E27548"/>
    <w:rsid w:val="00E27A58"/>
    <w:rsid w:val="00E308C5"/>
    <w:rsid w:val="00E31B57"/>
    <w:rsid w:val="00E32159"/>
    <w:rsid w:val="00E3430E"/>
    <w:rsid w:val="00E3665F"/>
    <w:rsid w:val="00E36A43"/>
    <w:rsid w:val="00E36DBC"/>
    <w:rsid w:val="00E374C4"/>
    <w:rsid w:val="00E40E42"/>
    <w:rsid w:val="00E41C14"/>
    <w:rsid w:val="00E42CD2"/>
    <w:rsid w:val="00E430D3"/>
    <w:rsid w:val="00E442F4"/>
    <w:rsid w:val="00E44782"/>
    <w:rsid w:val="00E448EC"/>
    <w:rsid w:val="00E44F22"/>
    <w:rsid w:val="00E45566"/>
    <w:rsid w:val="00E465B1"/>
    <w:rsid w:val="00E46AD6"/>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4409"/>
    <w:rsid w:val="00E74827"/>
    <w:rsid w:val="00E7662F"/>
    <w:rsid w:val="00E76B60"/>
    <w:rsid w:val="00E76C60"/>
    <w:rsid w:val="00E76CDD"/>
    <w:rsid w:val="00E80486"/>
    <w:rsid w:val="00E80701"/>
    <w:rsid w:val="00E81910"/>
    <w:rsid w:val="00E81A37"/>
    <w:rsid w:val="00E82585"/>
    <w:rsid w:val="00E82E90"/>
    <w:rsid w:val="00E83250"/>
    <w:rsid w:val="00E83EF7"/>
    <w:rsid w:val="00E841CB"/>
    <w:rsid w:val="00E84A0C"/>
    <w:rsid w:val="00E84EFB"/>
    <w:rsid w:val="00E86644"/>
    <w:rsid w:val="00E86DDA"/>
    <w:rsid w:val="00E86FC8"/>
    <w:rsid w:val="00E872DB"/>
    <w:rsid w:val="00E876BD"/>
    <w:rsid w:val="00E8782B"/>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B6D01"/>
    <w:rsid w:val="00EC09F6"/>
    <w:rsid w:val="00EC1447"/>
    <w:rsid w:val="00EC1642"/>
    <w:rsid w:val="00EC23A5"/>
    <w:rsid w:val="00EC248F"/>
    <w:rsid w:val="00EC2C02"/>
    <w:rsid w:val="00EC2C14"/>
    <w:rsid w:val="00EC3B64"/>
    <w:rsid w:val="00EC4C37"/>
    <w:rsid w:val="00EC6CCB"/>
    <w:rsid w:val="00ED0288"/>
    <w:rsid w:val="00ED0371"/>
    <w:rsid w:val="00ED0AD9"/>
    <w:rsid w:val="00ED0B38"/>
    <w:rsid w:val="00ED42BE"/>
    <w:rsid w:val="00ED676A"/>
    <w:rsid w:val="00ED70F7"/>
    <w:rsid w:val="00ED7684"/>
    <w:rsid w:val="00EE0105"/>
    <w:rsid w:val="00EE0224"/>
    <w:rsid w:val="00EE0D9A"/>
    <w:rsid w:val="00EE3844"/>
    <w:rsid w:val="00EE5423"/>
    <w:rsid w:val="00EE6A5E"/>
    <w:rsid w:val="00EE70E1"/>
    <w:rsid w:val="00EE72D0"/>
    <w:rsid w:val="00EE78DB"/>
    <w:rsid w:val="00EF0823"/>
    <w:rsid w:val="00EF2C5E"/>
    <w:rsid w:val="00EF323F"/>
    <w:rsid w:val="00EF33A0"/>
    <w:rsid w:val="00EF5076"/>
    <w:rsid w:val="00EF6592"/>
    <w:rsid w:val="00EF7915"/>
    <w:rsid w:val="00F00804"/>
    <w:rsid w:val="00F02376"/>
    <w:rsid w:val="00F02F31"/>
    <w:rsid w:val="00F034EA"/>
    <w:rsid w:val="00F03F83"/>
    <w:rsid w:val="00F0553A"/>
    <w:rsid w:val="00F05966"/>
    <w:rsid w:val="00F05D2E"/>
    <w:rsid w:val="00F071A6"/>
    <w:rsid w:val="00F07D3E"/>
    <w:rsid w:val="00F07E54"/>
    <w:rsid w:val="00F12341"/>
    <w:rsid w:val="00F12376"/>
    <w:rsid w:val="00F126A8"/>
    <w:rsid w:val="00F12CA7"/>
    <w:rsid w:val="00F14E24"/>
    <w:rsid w:val="00F23374"/>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6FB"/>
    <w:rsid w:val="00F57FB3"/>
    <w:rsid w:val="00F60D00"/>
    <w:rsid w:val="00F6173E"/>
    <w:rsid w:val="00F61C36"/>
    <w:rsid w:val="00F622A1"/>
    <w:rsid w:val="00F629D9"/>
    <w:rsid w:val="00F64A0C"/>
    <w:rsid w:val="00F65E1B"/>
    <w:rsid w:val="00F66F35"/>
    <w:rsid w:val="00F6771D"/>
    <w:rsid w:val="00F72B16"/>
    <w:rsid w:val="00F72D1D"/>
    <w:rsid w:val="00F72F1C"/>
    <w:rsid w:val="00F73B31"/>
    <w:rsid w:val="00F75CE0"/>
    <w:rsid w:val="00F773E1"/>
    <w:rsid w:val="00F77B0E"/>
    <w:rsid w:val="00F803FF"/>
    <w:rsid w:val="00F806AD"/>
    <w:rsid w:val="00F80E00"/>
    <w:rsid w:val="00F80EE2"/>
    <w:rsid w:val="00F82186"/>
    <w:rsid w:val="00F82E2E"/>
    <w:rsid w:val="00F83226"/>
    <w:rsid w:val="00F8381E"/>
    <w:rsid w:val="00F83F95"/>
    <w:rsid w:val="00F84F2A"/>
    <w:rsid w:val="00F852CA"/>
    <w:rsid w:val="00F856A9"/>
    <w:rsid w:val="00F8669E"/>
    <w:rsid w:val="00F8773C"/>
    <w:rsid w:val="00F87D63"/>
    <w:rsid w:val="00F91533"/>
    <w:rsid w:val="00F92BF5"/>
    <w:rsid w:val="00F93557"/>
    <w:rsid w:val="00F93CC2"/>
    <w:rsid w:val="00F94307"/>
    <w:rsid w:val="00F947C5"/>
    <w:rsid w:val="00F94D45"/>
    <w:rsid w:val="00F95BED"/>
    <w:rsid w:val="00F96146"/>
    <w:rsid w:val="00F967C4"/>
    <w:rsid w:val="00F972B7"/>
    <w:rsid w:val="00F97653"/>
    <w:rsid w:val="00FA0A3F"/>
    <w:rsid w:val="00FA47A6"/>
    <w:rsid w:val="00FA4B09"/>
    <w:rsid w:val="00FA783D"/>
    <w:rsid w:val="00FA7D2E"/>
    <w:rsid w:val="00FB0322"/>
    <w:rsid w:val="00FB172F"/>
    <w:rsid w:val="00FB3B90"/>
    <w:rsid w:val="00FB3E13"/>
    <w:rsid w:val="00FB4163"/>
    <w:rsid w:val="00FB5001"/>
    <w:rsid w:val="00FB6459"/>
    <w:rsid w:val="00FC0728"/>
    <w:rsid w:val="00FC1DF8"/>
    <w:rsid w:val="00FC22D1"/>
    <w:rsid w:val="00FC233B"/>
    <w:rsid w:val="00FC2E77"/>
    <w:rsid w:val="00FC32B9"/>
    <w:rsid w:val="00FC3B36"/>
    <w:rsid w:val="00FC3D19"/>
    <w:rsid w:val="00FC50A7"/>
    <w:rsid w:val="00FC7A6A"/>
    <w:rsid w:val="00FD1412"/>
    <w:rsid w:val="00FD33B2"/>
    <w:rsid w:val="00FD43BB"/>
    <w:rsid w:val="00FD4527"/>
    <w:rsid w:val="00FD4F63"/>
    <w:rsid w:val="00FD5CF4"/>
    <w:rsid w:val="00FE040C"/>
    <w:rsid w:val="00FE1D37"/>
    <w:rsid w:val="00FE2666"/>
    <w:rsid w:val="00FE270B"/>
    <w:rsid w:val="00FE7BB8"/>
    <w:rsid w:val="00FE7EBE"/>
    <w:rsid w:val="00FF01E6"/>
    <w:rsid w:val="00FF1483"/>
    <w:rsid w:val="00FF294F"/>
    <w:rsid w:val="00FF3063"/>
    <w:rsid w:val="00FF60ED"/>
    <w:rsid w:val="00FF6C35"/>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91D8"/>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C35D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nexo">
    <w:name w:val="anexo"/>
    <w:basedOn w:val="Normal"/>
    <w:rsid w:val="00EE0D9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408">
      <w:bodyDiv w:val="1"/>
      <w:marLeft w:val="0"/>
      <w:marRight w:val="0"/>
      <w:marTop w:val="0"/>
      <w:marBottom w:val="0"/>
      <w:divBdr>
        <w:top w:val="none" w:sz="0" w:space="0" w:color="auto"/>
        <w:left w:val="none" w:sz="0" w:space="0" w:color="auto"/>
        <w:bottom w:val="none" w:sz="0" w:space="0" w:color="auto"/>
        <w:right w:val="none" w:sz="0" w:space="0" w:color="auto"/>
      </w:divBdr>
      <w:divsChild>
        <w:div w:id="1090152547">
          <w:marLeft w:val="0"/>
          <w:marRight w:val="0"/>
          <w:marTop w:val="0"/>
          <w:marBottom w:val="0"/>
          <w:divBdr>
            <w:top w:val="none" w:sz="0" w:space="0" w:color="auto"/>
            <w:left w:val="none" w:sz="0" w:space="0" w:color="auto"/>
            <w:bottom w:val="none" w:sz="0" w:space="0" w:color="auto"/>
            <w:right w:val="none" w:sz="0" w:space="0" w:color="auto"/>
          </w:divBdr>
        </w:div>
        <w:div w:id="1207913454">
          <w:marLeft w:val="0"/>
          <w:marRight w:val="0"/>
          <w:marTop w:val="0"/>
          <w:marBottom w:val="300"/>
          <w:divBdr>
            <w:top w:val="none" w:sz="0" w:space="0" w:color="auto"/>
            <w:left w:val="none" w:sz="0" w:space="0" w:color="auto"/>
            <w:bottom w:val="none" w:sz="0" w:space="0" w:color="auto"/>
            <w:right w:val="none" w:sz="0" w:space="0" w:color="auto"/>
          </w:divBdr>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109517">
      <w:bodyDiv w:val="1"/>
      <w:marLeft w:val="0"/>
      <w:marRight w:val="0"/>
      <w:marTop w:val="0"/>
      <w:marBottom w:val="0"/>
      <w:divBdr>
        <w:top w:val="none" w:sz="0" w:space="0" w:color="auto"/>
        <w:left w:val="none" w:sz="0" w:space="0" w:color="auto"/>
        <w:bottom w:val="none" w:sz="0" w:space="0" w:color="auto"/>
        <w:right w:val="none" w:sz="0" w:space="0" w:color="auto"/>
      </w:divBdr>
      <w:divsChild>
        <w:div w:id="22294458">
          <w:marLeft w:val="0"/>
          <w:marRight w:val="0"/>
          <w:marTop w:val="0"/>
          <w:marBottom w:val="0"/>
          <w:divBdr>
            <w:top w:val="none" w:sz="0" w:space="0" w:color="auto"/>
            <w:left w:val="none" w:sz="0" w:space="0" w:color="auto"/>
            <w:bottom w:val="none" w:sz="0" w:space="0" w:color="auto"/>
            <w:right w:val="none" w:sz="0" w:space="0" w:color="auto"/>
          </w:divBdr>
        </w:div>
        <w:div w:id="1269849759">
          <w:marLeft w:val="0"/>
          <w:marRight w:val="0"/>
          <w:marTop w:val="0"/>
          <w:marBottom w:val="300"/>
          <w:divBdr>
            <w:top w:val="none" w:sz="0" w:space="0" w:color="auto"/>
            <w:left w:val="none" w:sz="0" w:space="0" w:color="auto"/>
            <w:bottom w:val="none" w:sz="0" w:space="0" w:color="auto"/>
            <w:right w:val="none" w:sz="0" w:space="0" w:color="auto"/>
          </w:divBdr>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37493602">
      <w:bodyDiv w:val="1"/>
      <w:marLeft w:val="0"/>
      <w:marRight w:val="0"/>
      <w:marTop w:val="0"/>
      <w:marBottom w:val="0"/>
      <w:divBdr>
        <w:top w:val="none" w:sz="0" w:space="0" w:color="auto"/>
        <w:left w:val="none" w:sz="0" w:space="0" w:color="auto"/>
        <w:bottom w:val="none" w:sz="0" w:space="0" w:color="auto"/>
        <w:right w:val="none" w:sz="0" w:space="0" w:color="auto"/>
      </w:divBdr>
      <w:divsChild>
        <w:div w:id="1838954355">
          <w:marLeft w:val="0"/>
          <w:marRight w:val="0"/>
          <w:marTop w:val="0"/>
          <w:marBottom w:val="0"/>
          <w:divBdr>
            <w:top w:val="none" w:sz="0" w:space="0" w:color="auto"/>
            <w:left w:val="none" w:sz="0" w:space="0" w:color="auto"/>
            <w:bottom w:val="none" w:sz="0" w:space="0" w:color="auto"/>
            <w:right w:val="none" w:sz="0" w:space="0" w:color="auto"/>
          </w:divBdr>
        </w:div>
        <w:div w:id="1717852978">
          <w:marLeft w:val="0"/>
          <w:marRight w:val="0"/>
          <w:marTop w:val="0"/>
          <w:marBottom w:val="300"/>
          <w:divBdr>
            <w:top w:val="none" w:sz="0" w:space="0" w:color="auto"/>
            <w:left w:val="none" w:sz="0" w:space="0" w:color="auto"/>
            <w:bottom w:val="none" w:sz="0" w:space="0" w:color="auto"/>
            <w:right w:val="none" w:sz="0" w:space="0" w:color="auto"/>
          </w:divBdr>
        </w:div>
      </w:divsChild>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58193708">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18380695">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31005406">
          <w:marLeft w:val="0"/>
          <w:marRight w:val="0"/>
          <w:marTop w:val="0"/>
          <w:marBottom w:val="0"/>
          <w:divBdr>
            <w:top w:val="none" w:sz="0" w:space="0" w:color="auto"/>
            <w:left w:val="none" w:sz="0" w:space="0" w:color="auto"/>
            <w:bottom w:val="none" w:sz="0" w:space="0" w:color="auto"/>
            <w:right w:val="none" w:sz="0" w:space="0" w:color="auto"/>
          </w:divBdr>
        </w:div>
        <w:div w:id="1955939378">
          <w:marLeft w:val="0"/>
          <w:marRight w:val="0"/>
          <w:marTop w:val="0"/>
          <w:marBottom w:val="300"/>
          <w:divBdr>
            <w:top w:val="none" w:sz="0" w:space="0" w:color="auto"/>
            <w:left w:val="none" w:sz="0" w:space="0" w:color="auto"/>
            <w:bottom w:val="none" w:sz="0" w:space="0" w:color="auto"/>
            <w:right w:val="none" w:sz="0" w:space="0" w:color="auto"/>
          </w:divBdr>
        </w:div>
      </w:divsChild>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06904905">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13988444">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4496644">
      <w:bodyDiv w:val="1"/>
      <w:marLeft w:val="0"/>
      <w:marRight w:val="0"/>
      <w:marTop w:val="0"/>
      <w:marBottom w:val="0"/>
      <w:divBdr>
        <w:top w:val="none" w:sz="0" w:space="0" w:color="auto"/>
        <w:left w:val="none" w:sz="0" w:space="0" w:color="auto"/>
        <w:bottom w:val="none" w:sz="0" w:space="0" w:color="auto"/>
        <w:right w:val="none" w:sz="0" w:space="0" w:color="auto"/>
      </w:divBdr>
      <w:divsChild>
        <w:div w:id="1174760696">
          <w:marLeft w:val="0"/>
          <w:marRight w:val="0"/>
          <w:marTop w:val="0"/>
          <w:marBottom w:val="0"/>
          <w:divBdr>
            <w:top w:val="none" w:sz="0" w:space="0" w:color="auto"/>
            <w:left w:val="none" w:sz="0" w:space="0" w:color="auto"/>
            <w:bottom w:val="none" w:sz="0" w:space="0" w:color="auto"/>
            <w:right w:val="none" w:sz="0" w:space="0" w:color="auto"/>
          </w:divBdr>
        </w:div>
        <w:div w:id="1089161011">
          <w:marLeft w:val="0"/>
          <w:marRight w:val="0"/>
          <w:marTop w:val="0"/>
          <w:marBottom w:val="300"/>
          <w:divBdr>
            <w:top w:val="none" w:sz="0" w:space="0" w:color="auto"/>
            <w:left w:val="none" w:sz="0" w:space="0" w:color="auto"/>
            <w:bottom w:val="none" w:sz="0" w:space="0" w:color="auto"/>
            <w:right w:val="none" w:sz="0" w:space="0" w:color="auto"/>
          </w:divBdr>
        </w:div>
      </w:divsChild>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2397</Words>
  <Characters>12948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67</cp:revision>
  <dcterms:created xsi:type="dcterms:W3CDTF">2019-11-05T17:22:00Z</dcterms:created>
  <dcterms:modified xsi:type="dcterms:W3CDTF">2019-11-07T21:49:00Z</dcterms:modified>
</cp:coreProperties>
</file>