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BEE2" w14:textId="77777777" w:rsidR="006958BE" w:rsidRDefault="006958BE" w:rsidP="00C86DD1"/>
    <w:p w14:paraId="5FC29F12" w14:textId="77777777" w:rsidR="00654A76" w:rsidRDefault="00E51263" w:rsidP="00C86DD1">
      <w:r w:rsidRPr="00654A76">
        <w:rPr>
          <w:noProof/>
          <w:lang w:eastAsia="pt-BR"/>
        </w:rPr>
        <w:drawing>
          <wp:anchor distT="0" distB="0" distL="114300" distR="114300" simplePos="0" relativeHeight="251658240" behindDoc="0" locked="0" layoutInCell="1" allowOverlap="1" wp14:anchorId="3CD9D018" wp14:editId="0B110842">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14:paraId="485D4D81" w14:textId="66AEABE3"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DE54BE">
        <w:rPr>
          <w:b/>
          <w:sz w:val="24"/>
          <w:szCs w:val="24"/>
        </w:rPr>
        <w:t>1</w:t>
      </w:r>
      <w:r w:rsidR="00B93491">
        <w:rPr>
          <w:b/>
          <w:sz w:val="24"/>
          <w:szCs w:val="24"/>
        </w:rPr>
        <w:t>3</w:t>
      </w:r>
      <w:r w:rsidR="00A52707" w:rsidRPr="00F61C36">
        <w:rPr>
          <w:b/>
          <w:sz w:val="24"/>
          <w:szCs w:val="24"/>
        </w:rPr>
        <w:t>/201</w:t>
      </w:r>
      <w:r w:rsidR="008A1226">
        <w:rPr>
          <w:b/>
          <w:sz w:val="24"/>
          <w:szCs w:val="24"/>
        </w:rPr>
        <w:t>9</w:t>
      </w:r>
    </w:p>
    <w:p w14:paraId="3E733125" w14:textId="77777777" w:rsidR="00746566" w:rsidRPr="00F61C36" w:rsidRDefault="00746566" w:rsidP="00E51263">
      <w:pPr>
        <w:spacing w:after="0"/>
        <w:jc w:val="center"/>
        <w:rPr>
          <w:b/>
          <w:sz w:val="24"/>
          <w:szCs w:val="24"/>
        </w:rPr>
      </w:pPr>
    </w:p>
    <w:p w14:paraId="643125C4" w14:textId="77777777" w:rsidR="00C3682B" w:rsidRPr="00F61C36" w:rsidRDefault="00C3682B" w:rsidP="00C3682B">
      <w:pPr>
        <w:rPr>
          <w:sz w:val="24"/>
          <w:szCs w:val="24"/>
        </w:rPr>
      </w:pPr>
      <w:r w:rsidRPr="00F61C36">
        <w:rPr>
          <w:sz w:val="24"/>
          <w:szCs w:val="24"/>
        </w:rPr>
        <w:t>Prezado Associado,</w:t>
      </w:r>
    </w:p>
    <w:p w14:paraId="4C82BB6D" w14:textId="77777777"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14:paraId="4E5D1BAA" w14:textId="77777777" w:rsidR="00146FB0" w:rsidRPr="00F61C36" w:rsidRDefault="00146FB0" w:rsidP="003C7813">
      <w:pPr>
        <w:rPr>
          <w:sz w:val="24"/>
          <w:szCs w:val="24"/>
        </w:rPr>
      </w:pPr>
      <w:r w:rsidRPr="00F61C36">
        <w:rPr>
          <w:sz w:val="24"/>
          <w:szCs w:val="24"/>
        </w:rPr>
        <w:t>Trata-se de informação de caráter exclusivo para associados com divulgação restrita.</w:t>
      </w:r>
    </w:p>
    <w:p w14:paraId="64FB2524" w14:textId="77777777" w:rsidR="00C16C50" w:rsidRPr="00F61C36" w:rsidRDefault="00C16C50" w:rsidP="00C16C50">
      <w:pPr>
        <w:rPr>
          <w:sz w:val="24"/>
          <w:szCs w:val="24"/>
        </w:rPr>
      </w:pPr>
      <w:r w:rsidRPr="00F61C36">
        <w:rPr>
          <w:sz w:val="24"/>
          <w:szCs w:val="24"/>
        </w:rPr>
        <w:t>Para cancelar o recebimento, solicitamos enviar mensagem neste e.mail.</w:t>
      </w:r>
    </w:p>
    <w:p w14:paraId="11CCD4DC" w14:textId="77777777" w:rsidR="00C16C50" w:rsidRPr="00F61C36" w:rsidRDefault="00C16C50" w:rsidP="00C16C50">
      <w:pPr>
        <w:rPr>
          <w:sz w:val="24"/>
          <w:szCs w:val="24"/>
        </w:rPr>
      </w:pPr>
      <w:r w:rsidRPr="00F61C36">
        <w:rPr>
          <w:sz w:val="24"/>
          <w:szCs w:val="24"/>
        </w:rPr>
        <w:t>Atenciosamente,</w:t>
      </w:r>
    </w:p>
    <w:p w14:paraId="7A0EBC48" w14:textId="77777777" w:rsidR="00A0419E" w:rsidRDefault="00C16C50" w:rsidP="00A0419E">
      <w:pPr>
        <w:rPr>
          <w:sz w:val="24"/>
          <w:szCs w:val="24"/>
        </w:rPr>
      </w:pPr>
      <w:r w:rsidRPr="00F61C36">
        <w:rPr>
          <w:sz w:val="24"/>
          <w:szCs w:val="24"/>
        </w:rPr>
        <w:t>Secretaria Executiva da ABECE</w:t>
      </w:r>
    </w:p>
    <w:p w14:paraId="225A177C" w14:textId="77777777" w:rsidR="001A16FB" w:rsidRDefault="001A16FB" w:rsidP="00A0419E">
      <w:pPr>
        <w:rPr>
          <w:sz w:val="24"/>
          <w:szCs w:val="24"/>
        </w:rPr>
      </w:pPr>
    </w:p>
    <w:p w14:paraId="7543B74D" w14:textId="77777777" w:rsidR="001A16FB" w:rsidRDefault="001A16FB" w:rsidP="00A0419E">
      <w:pPr>
        <w:rPr>
          <w:sz w:val="24"/>
          <w:szCs w:val="24"/>
        </w:rPr>
      </w:pPr>
    </w:p>
    <w:p w14:paraId="2A5113C2" w14:textId="577EEE6B" w:rsidR="00C209A6" w:rsidRDefault="00C209A6" w:rsidP="001A16FB">
      <w:pPr>
        <w:shd w:val="clear" w:color="auto" w:fill="FFFFFF"/>
        <w:spacing w:after="0" w:line="240" w:lineRule="auto"/>
        <w:rPr>
          <w:sz w:val="22"/>
          <w:szCs w:val="22"/>
        </w:rPr>
      </w:pPr>
      <w:bookmarkStart w:id="0" w:name="_Hlk11082289"/>
      <w:r>
        <w:rPr>
          <w:rFonts w:ascii="Calibri" w:hAnsi="Calibri"/>
          <w:b/>
          <w:bCs/>
          <w:color w:val="222222"/>
          <w:sz w:val="22"/>
          <w:szCs w:val="22"/>
        </w:rPr>
        <w:t>LONAS DE PVC</w:t>
      </w:r>
      <w:r w:rsidR="001A16FB" w:rsidRPr="0005406E">
        <w:rPr>
          <w:rFonts w:ascii="Calibri" w:hAnsi="Calibri"/>
          <w:b/>
          <w:bCs/>
          <w:color w:val="222222"/>
          <w:sz w:val="22"/>
          <w:szCs w:val="22"/>
        </w:rPr>
        <w:t xml:space="preserve"> (NCM </w:t>
      </w:r>
      <w:r w:rsidR="005B0B25">
        <w:rPr>
          <w:rFonts w:ascii="Calibri" w:hAnsi="Calibri"/>
          <w:b/>
          <w:bCs/>
          <w:color w:val="222222"/>
          <w:sz w:val="22"/>
          <w:szCs w:val="22"/>
        </w:rPr>
        <w:t>3</w:t>
      </w:r>
      <w:r>
        <w:rPr>
          <w:rFonts w:ascii="Calibri" w:hAnsi="Calibri"/>
          <w:b/>
          <w:bCs/>
          <w:color w:val="222222"/>
          <w:sz w:val="22"/>
          <w:szCs w:val="22"/>
        </w:rPr>
        <w:t>921.90.19</w:t>
      </w:r>
      <w:r w:rsidR="001A16FB" w:rsidRPr="0005406E">
        <w:rPr>
          <w:rFonts w:ascii="Calibri" w:hAnsi="Calibri"/>
          <w:b/>
          <w:bCs/>
          <w:color w:val="000000"/>
          <w:sz w:val="22"/>
          <w:szCs w:val="22"/>
        </w:rPr>
        <w:t>)</w:t>
      </w:r>
      <w:r w:rsidR="001A16FB" w:rsidRPr="0005406E">
        <w:rPr>
          <w:rFonts w:ascii="Calibri" w:hAnsi="Calibri"/>
          <w:b/>
          <w:bCs/>
          <w:color w:val="222222"/>
          <w:sz w:val="22"/>
          <w:szCs w:val="22"/>
        </w:rPr>
        <w:t> –</w:t>
      </w:r>
      <w:r w:rsidR="001A16FB" w:rsidRPr="0005406E">
        <w:rPr>
          <w:rFonts w:ascii="Calibri" w:hAnsi="Calibri"/>
          <w:color w:val="222222"/>
          <w:sz w:val="22"/>
          <w:szCs w:val="22"/>
        </w:rPr>
        <w:t> A SECEX</w:t>
      </w:r>
      <w:r w:rsidR="002E689B" w:rsidRPr="0005406E">
        <w:rPr>
          <w:sz w:val="22"/>
          <w:szCs w:val="22"/>
        </w:rPr>
        <w:t xml:space="preserve"> </w:t>
      </w:r>
      <w:r>
        <w:rPr>
          <w:sz w:val="22"/>
          <w:szCs w:val="22"/>
        </w:rPr>
        <w:t>encerrou</w:t>
      </w:r>
      <w:r w:rsidRPr="00C209A6">
        <w:rPr>
          <w:sz w:val="22"/>
          <w:szCs w:val="22"/>
        </w:rPr>
        <w:t xml:space="preserve"> o procedimento especial de verificação de origem não preferencial, com a desqualificação da origem Tailândia para o produto lonas de policloreto de vinila (lonas de PVC) com reforço têxtil revestido em ambas as faces, </w:t>
      </w:r>
      <w:r>
        <w:rPr>
          <w:sz w:val="22"/>
          <w:szCs w:val="22"/>
        </w:rPr>
        <w:t>NCM</w:t>
      </w:r>
      <w:r w:rsidRPr="00C209A6">
        <w:rPr>
          <w:sz w:val="22"/>
          <w:szCs w:val="22"/>
        </w:rPr>
        <w:t xml:space="preserve"> 3921.90.19</w:t>
      </w:r>
      <w:r>
        <w:rPr>
          <w:sz w:val="22"/>
          <w:szCs w:val="22"/>
        </w:rPr>
        <w:t>,</w:t>
      </w:r>
      <w:r w:rsidRPr="00C209A6">
        <w:rPr>
          <w:sz w:val="22"/>
          <w:szCs w:val="22"/>
        </w:rPr>
        <w:t xml:space="preserve"> declarado como produzido pela empresa YULI PLASTIC (THAILAND) CO., LTD. </w:t>
      </w:r>
      <w:r>
        <w:rPr>
          <w:sz w:val="22"/>
          <w:szCs w:val="22"/>
        </w:rPr>
        <w:t xml:space="preserve">Dessa forma, </w:t>
      </w:r>
      <w:r w:rsidRPr="00C209A6">
        <w:rPr>
          <w:sz w:val="22"/>
          <w:szCs w:val="22"/>
        </w:rPr>
        <w:t xml:space="preserve">as licenças de importação solicitadas pelos importadores brasileiros referentes ao produto e produtor mencionados </w:t>
      </w:r>
      <w:r>
        <w:rPr>
          <w:sz w:val="22"/>
          <w:szCs w:val="22"/>
        </w:rPr>
        <w:t>serão indeferidas</w:t>
      </w:r>
      <w:r w:rsidRPr="00C209A6">
        <w:rPr>
          <w:sz w:val="22"/>
          <w:szCs w:val="22"/>
        </w:rPr>
        <w:t>, quando a origem declarada for Tailândia.</w:t>
      </w:r>
      <w:r w:rsidR="003A2CA3">
        <w:rPr>
          <w:sz w:val="22"/>
          <w:szCs w:val="22"/>
        </w:rPr>
        <w:t xml:space="preserve"> </w:t>
      </w:r>
      <w:r w:rsidR="001A16FB" w:rsidRPr="0005406E">
        <w:rPr>
          <w:rFonts w:ascii="Calibri" w:hAnsi="Calibri"/>
          <w:color w:val="222222"/>
          <w:sz w:val="22"/>
          <w:szCs w:val="22"/>
        </w:rPr>
        <w:t>A mercadoria</w:t>
      </w:r>
      <w:r w:rsidR="00335DC5">
        <w:rPr>
          <w:rFonts w:ascii="Calibri" w:hAnsi="Calibri"/>
          <w:color w:val="222222"/>
          <w:sz w:val="22"/>
          <w:szCs w:val="22"/>
        </w:rPr>
        <w:t xml:space="preserve"> </w:t>
      </w:r>
      <w:r w:rsidR="001A16FB" w:rsidRPr="0005406E">
        <w:rPr>
          <w:rFonts w:ascii="Calibri" w:hAnsi="Calibri"/>
          <w:color w:val="222222"/>
          <w:sz w:val="22"/>
          <w:szCs w:val="22"/>
        </w:rPr>
        <w:t>está sujeita a licenciamento</w:t>
      </w:r>
      <w:r w:rsidR="003A2CA3">
        <w:rPr>
          <w:rFonts w:ascii="Calibri" w:hAnsi="Calibri"/>
          <w:color w:val="222222"/>
          <w:sz w:val="22"/>
          <w:szCs w:val="22"/>
        </w:rPr>
        <w:t xml:space="preserve"> automático sob controle da SECEX, desde 30/3/2015, e possui destaques com anuência da SECEX e do Comando do Exército.</w:t>
      </w:r>
      <w:r w:rsidR="001A16FB" w:rsidRPr="0005406E">
        <w:rPr>
          <w:rFonts w:ascii="Calibri" w:hAnsi="Calibri"/>
          <w:color w:val="222222"/>
          <w:sz w:val="22"/>
          <w:szCs w:val="22"/>
        </w:rPr>
        <w:t> (</w:t>
      </w:r>
      <w:r>
        <w:rPr>
          <w:rFonts w:ascii="Calibri" w:hAnsi="Calibri"/>
          <w:color w:val="222222"/>
          <w:sz w:val="22"/>
          <w:szCs w:val="22"/>
        </w:rPr>
        <w:t>Portaria</w:t>
      </w:r>
      <w:r w:rsidR="005B0B25">
        <w:rPr>
          <w:rFonts w:ascii="Calibri" w:hAnsi="Calibri"/>
          <w:color w:val="222222"/>
          <w:sz w:val="22"/>
          <w:szCs w:val="22"/>
        </w:rPr>
        <w:t xml:space="preserve"> SECEX</w:t>
      </w:r>
      <w:r w:rsidR="001A16FB" w:rsidRPr="0005406E">
        <w:rPr>
          <w:rFonts w:ascii="Calibri" w:hAnsi="Calibri"/>
          <w:color w:val="222222"/>
          <w:sz w:val="22"/>
          <w:szCs w:val="22"/>
        </w:rPr>
        <w:t xml:space="preserve"> n°</w:t>
      </w:r>
      <w:r>
        <w:rPr>
          <w:rFonts w:ascii="Calibri" w:hAnsi="Calibri"/>
          <w:color w:val="222222"/>
          <w:sz w:val="22"/>
          <w:szCs w:val="22"/>
        </w:rPr>
        <w:t xml:space="preserve"> 18</w:t>
      </w:r>
      <w:r w:rsidR="005B0B25">
        <w:rPr>
          <w:rFonts w:ascii="Calibri" w:hAnsi="Calibri"/>
          <w:color w:val="222222"/>
          <w:sz w:val="22"/>
          <w:szCs w:val="22"/>
        </w:rPr>
        <w:t>, de</w:t>
      </w:r>
      <w:r w:rsidR="001A16FB" w:rsidRPr="0005406E">
        <w:rPr>
          <w:rFonts w:ascii="Calibri" w:hAnsi="Calibri"/>
          <w:color w:val="222222"/>
          <w:sz w:val="22"/>
          <w:szCs w:val="22"/>
        </w:rPr>
        <w:t xml:space="preserve"> </w:t>
      </w:r>
      <w:r>
        <w:rPr>
          <w:rFonts w:ascii="Calibri" w:hAnsi="Calibri"/>
          <w:color w:val="222222"/>
          <w:sz w:val="22"/>
          <w:szCs w:val="22"/>
        </w:rPr>
        <w:t>27</w:t>
      </w:r>
      <w:r w:rsidR="001A16FB" w:rsidRPr="0005406E">
        <w:rPr>
          <w:rFonts w:ascii="Calibri" w:hAnsi="Calibri"/>
          <w:color w:val="222222"/>
          <w:sz w:val="22"/>
          <w:szCs w:val="22"/>
        </w:rPr>
        <w:t>/0</w:t>
      </w:r>
      <w:r w:rsidR="002E689B" w:rsidRPr="0005406E">
        <w:rPr>
          <w:rFonts w:ascii="Calibri" w:hAnsi="Calibri"/>
          <w:color w:val="222222"/>
          <w:sz w:val="22"/>
          <w:szCs w:val="22"/>
        </w:rPr>
        <w:t>6</w:t>
      </w:r>
      <w:r w:rsidR="001A16FB" w:rsidRPr="0005406E">
        <w:rPr>
          <w:rFonts w:ascii="Calibri" w:hAnsi="Calibri"/>
          <w:color w:val="222222"/>
          <w:sz w:val="22"/>
          <w:szCs w:val="22"/>
        </w:rPr>
        <w:t xml:space="preserve">/2019, DOU </w:t>
      </w:r>
      <w:r>
        <w:rPr>
          <w:rFonts w:ascii="Calibri" w:hAnsi="Calibri"/>
          <w:color w:val="222222"/>
          <w:sz w:val="22"/>
          <w:szCs w:val="22"/>
        </w:rPr>
        <w:t>28</w:t>
      </w:r>
      <w:r w:rsidR="001A16FB" w:rsidRPr="0005406E">
        <w:rPr>
          <w:rFonts w:ascii="Calibri" w:hAnsi="Calibri"/>
          <w:color w:val="222222"/>
          <w:sz w:val="22"/>
          <w:szCs w:val="22"/>
        </w:rPr>
        <w:t>/0</w:t>
      </w:r>
      <w:r w:rsidR="00064952" w:rsidRPr="0005406E">
        <w:rPr>
          <w:rFonts w:ascii="Calibri" w:hAnsi="Calibri"/>
          <w:color w:val="222222"/>
          <w:sz w:val="22"/>
          <w:szCs w:val="22"/>
        </w:rPr>
        <w:t>6</w:t>
      </w:r>
      <w:r w:rsidR="001A16FB" w:rsidRPr="0005406E">
        <w:rPr>
          <w:rFonts w:ascii="Calibri" w:hAnsi="Calibri"/>
          <w:color w:val="222222"/>
          <w:sz w:val="22"/>
          <w:szCs w:val="22"/>
        </w:rPr>
        <w:t>/2019).</w:t>
      </w:r>
    </w:p>
    <w:p w14:paraId="2F41125F" w14:textId="0E765A45" w:rsidR="001A16FB" w:rsidRDefault="001A16FB" w:rsidP="001A16FB">
      <w:pPr>
        <w:shd w:val="clear" w:color="auto" w:fill="FFFFFF"/>
        <w:spacing w:after="0" w:line="240" w:lineRule="auto"/>
        <w:rPr>
          <w:sz w:val="22"/>
          <w:szCs w:val="22"/>
        </w:rPr>
      </w:pPr>
      <w:r w:rsidRPr="00050FE8">
        <w:rPr>
          <w:sz w:val="22"/>
          <w:szCs w:val="22"/>
        </w:rPr>
        <w:t xml:space="preserve"> </w:t>
      </w:r>
    </w:p>
    <w:bookmarkEnd w:id="0"/>
    <w:p w14:paraId="6E6A927D" w14:textId="77777777" w:rsidR="00064952" w:rsidRPr="00624BD0" w:rsidRDefault="00064952" w:rsidP="00064952">
      <w:pPr>
        <w:shd w:val="clear" w:color="auto" w:fill="FFFFFF"/>
        <w:spacing w:after="0" w:line="240" w:lineRule="auto"/>
        <w:rPr>
          <w:b/>
          <w:sz w:val="48"/>
          <w:szCs w:val="48"/>
        </w:rPr>
      </w:pPr>
    </w:p>
    <w:p w14:paraId="5EC7CC70" w14:textId="3D1CD5DC" w:rsidR="005B0B25" w:rsidRPr="0005406E" w:rsidRDefault="00A73B35" w:rsidP="003A2CA3">
      <w:pPr>
        <w:shd w:val="clear" w:color="auto" w:fill="FFFFFF"/>
        <w:spacing w:after="150" w:line="240" w:lineRule="auto"/>
        <w:rPr>
          <w:rFonts w:eastAsia="Times New Roman" w:cs="Arial"/>
          <w:color w:val="222222"/>
          <w:sz w:val="22"/>
          <w:szCs w:val="22"/>
          <w:lang w:eastAsia="pt-BR"/>
        </w:rPr>
      </w:pPr>
      <w:r>
        <w:rPr>
          <w:rFonts w:ascii="Calibri" w:hAnsi="Calibri"/>
          <w:b/>
          <w:bCs/>
          <w:color w:val="222222"/>
          <w:sz w:val="22"/>
          <w:szCs w:val="22"/>
        </w:rPr>
        <w:t>FILMES PET</w:t>
      </w:r>
      <w:r w:rsidR="005B0B25" w:rsidRPr="0005406E">
        <w:rPr>
          <w:rFonts w:ascii="Calibri" w:hAnsi="Calibri"/>
          <w:b/>
          <w:bCs/>
          <w:color w:val="222222"/>
          <w:sz w:val="22"/>
          <w:szCs w:val="22"/>
        </w:rPr>
        <w:t xml:space="preserve"> (NCM </w:t>
      </w:r>
      <w:r>
        <w:rPr>
          <w:rFonts w:ascii="Calibri" w:hAnsi="Calibri"/>
          <w:b/>
          <w:bCs/>
          <w:color w:val="222222"/>
          <w:sz w:val="22"/>
          <w:szCs w:val="22"/>
        </w:rPr>
        <w:t>3920.62.19, 3902.62.91 E 3920.62.99</w:t>
      </w:r>
      <w:r w:rsidR="005B0B25" w:rsidRPr="0005406E">
        <w:rPr>
          <w:rFonts w:ascii="Calibri" w:hAnsi="Calibri"/>
          <w:b/>
          <w:bCs/>
          <w:color w:val="000000"/>
          <w:sz w:val="22"/>
          <w:szCs w:val="22"/>
        </w:rPr>
        <w:t>)</w:t>
      </w:r>
      <w:r w:rsidR="005B0B25" w:rsidRPr="0005406E">
        <w:rPr>
          <w:rFonts w:ascii="Calibri" w:hAnsi="Calibri"/>
          <w:b/>
          <w:bCs/>
          <w:color w:val="222222"/>
          <w:sz w:val="22"/>
          <w:szCs w:val="22"/>
        </w:rPr>
        <w:t> –</w:t>
      </w:r>
      <w:r w:rsidR="005B0B25" w:rsidRPr="0005406E">
        <w:rPr>
          <w:rFonts w:ascii="Calibri" w:hAnsi="Calibri"/>
          <w:color w:val="222222"/>
          <w:sz w:val="22"/>
          <w:szCs w:val="22"/>
        </w:rPr>
        <w:t> A SE</w:t>
      </w:r>
      <w:r w:rsidR="00651BB2">
        <w:rPr>
          <w:rFonts w:ascii="Calibri" w:hAnsi="Calibri"/>
          <w:color w:val="222222"/>
          <w:sz w:val="22"/>
          <w:szCs w:val="22"/>
        </w:rPr>
        <w:t>CINT</w:t>
      </w:r>
      <w:r w:rsidR="005B0B25" w:rsidRPr="005B0B25">
        <w:rPr>
          <w:sz w:val="22"/>
          <w:szCs w:val="22"/>
        </w:rPr>
        <w:t xml:space="preserve"> </w:t>
      </w:r>
      <w:r w:rsidR="00E33E37">
        <w:rPr>
          <w:sz w:val="22"/>
          <w:szCs w:val="22"/>
        </w:rPr>
        <w:t>aplicou</w:t>
      </w:r>
      <w:r w:rsidR="00E33E37" w:rsidRPr="00C209A6">
        <w:rPr>
          <w:rFonts w:eastAsia="Times New Roman" w:cs="Arial"/>
          <w:color w:val="162937"/>
          <w:sz w:val="22"/>
          <w:szCs w:val="22"/>
          <w:lang w:eastAsia="pt-BR"/>
        </w:rPr>
        <w:t xml:space="preserve"> direito antidumping definitivo, </w:t>
      </w:r>
      <w:r w:rsidR="00E33E37">
        <w:rPr>
          <w:rFonts w:eastAsia="Times New Roman" w:cs="Arial"/>
          <w:color w:val="162937"/>
          <w:sz w:val="22"/>
          <w:szCs w:val="22"/>
          <w:lang w:eastAsia="pt-BR"/>
        </w:rPr>
        <w:t>até 30/06/2024,</w:t>
      </w:r>
      <w:r w:rsidR="00E33E37" w:rsidRPr="00C209A6">
        <w:rPr>
          <w:rFonts w:eastAsia="Times New Roman" w:cs="Arial"/>
          <w:color w:val="162937"/>
          <w:sz w:val="22"/>
          <w:szCs w:val="22"/>
          <w:lang w:eastAsia="pt-BR"/>
        </w:rPr>
        <w:t xml:space="preserve"> às importações de filmes PET, </w:t>
      </w:r>
      <w:r w:rsidR="00E33E37">
        <w:rPr>
          <w:rFonts w:eastAsia="Times New Roman" w:cs="Arial"/>
          <w:color w:val="162937"/>
          <w:sz w:val="22"/>
          <w:szCs w:val="22"/>
          <w:lang w:eastAsia="pt-BR"/>
        </w:rPr>
        <w:t>NCM</w:t>
      </w:r>
      <w:r w:rsidR="00E33E37" w:rsidRPr="00C209A6">
        <w:rPr>
          <w:rFonts w:eastAsia="Times New Roman" w:cs="Arial"/>
          <w:color w:val="162937"/>
          <w:sz w:val="22"/>
          <w:szCs w:val="22"/>
          <w:lang w:eastAsia="pt-BR"/>
        </w:rPr>
        <w:t xml:space="preserve"> 3920.62.19, 3920.62.91, 3920.62.99</w:t>
      </w:r>
      <w:r w:rsidR="00E33E37">
        <w:rPr>
          <w:rFonts w:eastAsia="Times New Roman" w:cs="Arial"/>
          <w:color w:val="162937"/>
          <w:sz w:val="22"/>
          <w:szCs w:val="22"/>
          <w:lang w:eastAsia="pt-BR"/>
        </w:rPr>
        <w:t>, nos valores de US$ 480,15/t originárias de Bareine, e de US$ 123,20/t originárias do Peru. O disposto não se aplica a</w:t>
      </w:r>
      <w:r w:rsidR="00E33E37" w:rsidRPr="00C209A6">
        <w:rPr>
          <w:rFonts w:eastAsia="Times New Roman" w:cs="Arial"/>
          <w:color w:val="162937"/>
          <w:sz w:val="22"/>
          <w:szCs w:val="22"/>
          <w:lang w:eastAsia="pt-BR"/>
        </w:rPr>
        <w:t>: filmes de PET com espessura inferior a 5μm e superior a 50μm e, portanto, fora da faixa especificada; películas fumê automotiva; filmes de acetato de celulose; filmes de poliéster com silicone; rolos para painéis de assinatura; filtros para iluminação; telas, filmes, cabos de PVC; filmes, chapas, placas de copoliéster PETG; filmes, películas, etiquetas e chapas de policarbonato; folhas esponjadas de politereftalato de etileno; placas de polimetacrilato de metila; etiquetas de poliéster; lâminas e folhas de tinteiro; telas de reforço de poliéster; filmes e fios de poliéster microimpressos; filmes de poliéster magnetizados; fitas para unitização de carga;filmes de PET já processados para outros fins (produto acabado);</w:t>
      </w:r>
      <w:r w:rsidR="00E33E37">
        <w:rPr>
          <w:rFonts w:eastAsia="Times New Roman" w:cs="Arial"/>
          <w:color w:val="162937"/>
          <w:sz w:val="22"/>
          <w:szCs w:val="22"/>
          <w:lang w:eastAsia="pt-BR"/>
        </w:rPr>
        <w:t xml:space="preserve"> </w:t>
      </w:r>
      <w:r w:rsidR="00E33E37" w:rsidRPr="00C209A6">
        <w:rPr>
          <w:rFonts w:eastAsia="Times New Roman" w:cs="Arial"/>
          <w:color w:val="162937"/>
          <w:sz w:val="22"/>
          <w:szCs w:val="22"/>
          <w:lang w:eastAsia="pt-BR"/>
        </w:rPr>
        <w:t>filmes "tracing and drafting"; filmes "transfer metalized; e filmes de PET com coating de EVA e os filmes de PET com coating de PE.</w:t>
      </w:r>
      <w:r w:rsidR="003A2CA3">
        <w:rPr>
          <w:rFonts w:eastAsia="Times New Roman" w:cs="Arial"/>
          <w:color w:val="162937"/>
          <w:sz w:val="22"/>
          <w:szCs w:val="22"/>
          <w:lang w:eastAsia="pt-BR"/>
        </w:rPr>
        <w:t xml:space="preserve"> </w:t>
      </w:r>
      <w:r w:rsidR="005B0B25" w:rsidRPr="0005406E">
        <w:rPr>
          <w:rFonts w:ascii="Calibri" w:hAnsi="Calibri"/>
          <w:color w:val="222222"/>
          <w:sz w:val="22"/>
          <w:szCs w:val="22"/>
        </w:rPr>
        <w:t xml:space="preserve">A mercadoria está sujeita a licenciamento </w:t>
      </w:r>
      <w:r w:rsidR="003A2CA3">
        <w:rPr>
          <w:rFonts w:ascii="Calibri" w:hAnsi="Calibri"/>
          <w:color w:val="222222"/>
          <w:sz w:val="22"/>
          <w:szCs w:val="22"/>
        </w:rPr>
        <w:t xml:space="preserve">não </w:t>
      </w:r>
      <w:r w:rsidR="005B0B25" w:rsidRPr="0005406E">
        <w:rPr>
          <w:rFonts w:ascii="Calibri" w:hAnsi="Calibri"/>
          <w:color w:val="222222"/>
          <w:sz w:val="22"/>
          <w:szCs w:val="22"/>
        </w:rPr>
        <w:t>automático, sob anuência d</w:t>
      </w:r>
      <w:r w:rsidR="003A2CA3">
        <w:rPr>
          <w:rFonts w:ascii="Calibri" w:hAnsi="Calibri"/>
          <w:color w:val="222222"/>
          <w:sz w:val="22"/>
          <w:szCs w:val="22"/>
        </w:rPr>
        <w:t>a SECEX</w:t>
      </w:r>
      <w:r w:rsidR="005B0B25" w:rsidRPr="0005406E">
        <w:rPr>
          <w:rFonts w:ascii="Calibri" w:hAnsi="Calibri"/>
          <w:color w:val="222222"/>
          <w:sz w:val="22"/>
          <w:szCs w:val="22"/>
        </w:rPr>
        <w:t>, desde 201</w:t>
      </w:r>
      <w:r w:rsidR="003A2CA3">
        <w:rPr>
          <w:rFonts w:ascii="Calibri" w:hAnsi="Calibri"/>
          <w:color w:val="222222"/>
          <w:sz w:val="22"/>
          <w:szCs w:val="22"/>
        </w:rPr>
        <w:t>2.</w:t>
      </w:r>
      <w:r w:rsidR="005B0B25" w:rsidRPr="0005406E">
        <w:rPr>
          <w:rFonts w:ascii="Calibri" w:hAnsi="Calibri"/>
          <w:color w:val="222222"/>
          <w:sz w:val="22"/>
          <w:szCs w:val="22"/>
        </w:rPr>
        <w:t> (</w:t>
      </w:r>
      <w:r w:rsidR="00651BB2">
        <w:rPr>
          <w:rFonts w:ascii="Calibri" w:hAnsi="Calibri"/>
          <w:color w:val="222222"/>
          <w:sz w:val="22"/>
          <w:szCs w:val="22"/>
        </w:rPr>
        <w:t>Portaria SECINT</w:t>
      </w:r>
      <w:r w:rsidR="005B0B25" w:rsidRPr="0005406E">
        <w:rPr>
          <w:rFonts w:ascii="Calibri" w:hAnsi="Calibri"/>
          <w:color w:val="222222"/>
          <w:sz w:val="22"/>
          <w:szCs w:val="22"/>
        </w:rPr>
        <w:t xml:space="preserve"> n°</w:t>
      </w:r>
      <w:r w:rsidR="005B0B25">
        <w:rPr>
          <w:rFonts w:ascii="Calibri" w:hAnsi="Calibri"/>
          <w:color w:val="222222"/>
          <w:sz w:val="22"/>
          <w:szCs w:val="22"/>
        </w:rPr>
        <w:t xml:space="preserve"> </w:t>
      </w:r>
      <w:r w:rsidR="00651BB2">
        <w:rPr>
          <w:rFonts w:ascii="Calibri" w:hAnsi="Calibri"/>
          <w:color w:val="222222"/>
          <w:sz w:val="22"/>
          <w:szCs w:val="22"/>
        </w:rPr>
        <w:t>47</w:t>
      </w:r>
      <w:r w:rsidR="00E33E37">
        <w:rPr>
          <w:rFonts w:ascii="Calibri" w:hAnsi="Calibri"/>
          <w:color w:val="222222"/>
          <w:sz w:val="22"/>
          <w:szCs w:val="22"/>
        </w:rPr>
        <w:t>3</w:t>
      </w:r>
      <w:r w:rsidR="005B0B25">
        <w:rPr>
          <w:rFonts w:ascii="Calibri" w:hAnsi="Calibri"/>
          <w:color w:val="222222"/>
          <w:sz w:val="22"/>
          <w:szCs w:val="22"/>
        </w:rPr>
        <w:t>, de</w:t>
      </w:r>
      <w:r w:rsidR="005B0B25" w:rsidRPr="0005406E">
        <w:rPr>
          <w:rFonts w:ascii="Calibri" w:hAnsi="Calibri"/>
          <w:color w:val="222222"/>
          <w:sz w:val="22"/>
          <w:szCs w:val="22"/>
        </w:rPr>
        <w:t xml:space="preserve"> </w:t>
      </w:r>
      <w:r w:rsidR="00651BB2">
        <w:rPr>
          <w:rFonts w:ascii="Calibri" w:hAnsi="Calibri"/>
          <w:color w:val="222222"/>
          <w:sz w:val="22"/>
          <w:szCs w:val="22"/>
        </w:rPr>
        <w:t>2</w:t>
      </w:r>
      <w:r w:rsidR="005B0B25">
        <w:rPr>
          <w:rFonts w:ascii="Calibri" w:hAnsi="Calibri"/>
          <w:color w:val="222222"/>
          <w:sz w:val="22"/>
          <w:szCs w:val="22"/>
        </w:rPr>
        <w:t>8</w:t>
      </w:r>
      <w:r w:rsidR="005B0B25" w:rsidRPr="0005406E">
        <w:rPr>
          <w:rFonts w:ascii="Calibri" w:hAnsi="Calibri"/>
          <w:color w:val="222222"/>
          <w:sz w:val="22"/>
          <w:szCs w:val="22"/>
        </w:rPr>
        <w:t xml:space="preserve">/06/2019, DOU </w:t>
      </w:r>
      <w:r w:rsidR="00651BB2">
        <w:rPr>
          <w:rFonts w:ascii="Calibri" w:hAnsi="Calibri"/>
          <w:color w:val="222222"/>
          <w:sz w:val="22"/>
          <w:szCs w:val="22"/>
        </w:rPr>
        <w:t>0</w:t>
      </w:r>
      <w:r w:rsidR="005B0B25" w:rsidRPr="0005406E">
        <w:rPr>
          <w:rFonts w:ascii="Calibri" w:hAnsi="Calibri"/>
          <w:color w:val="222222"/>
          <w:sz w:val="22"/>
          <w:szCs w:val="22"/>
        </w:rPr>
        <w:t>1/0</w:t>
      </w:r>
      <w:r w:rsidR="00651BB2">
        <w:rPr>
          <w:rFonts w:ascii="Calibri" w:hAnsi="Calibri"/>
          <w:color w:val="222222"/>
          <w:sz w:val="22"/>
          <w:szCs w:val="22"/>
        </w:rPr>
        <w:t>7</w:t>
      </w:r>
      <w:r w:rsidR="005B0B25" w:rsidRPr="0005406E">
        <w:rPr>
          <w:rFonts w:ascii="Calibri" w:hAnsi="Calibri"/>
          <w:color w:val="222222"/>
          <w:sz w:val="22"/>
          <w:szCs w:val="22"/>
        </w:rPr>
        <w:t>/2019).</w:t>
      </w:r>
    </w:p>
    <w:p w14:paraId="3CCD26BD" w14:textId="25540717" w:rsidR="00E33E37" w:rsidRDefault="00E33E37" w:rsidP="00064952">
      <w:pPr>
        <w:shd w:val="clear" w:color="auto" w:fill="FFFFFF"/>
        <w:spacing w:after="0" w:line="240" w:lineRule="auto"/>
      </w:pPr>
    </w:p>
    <w:p w14:paraId="23A0BC72" w14:textId="77777777" w:rsidR="00E33E37" w:rsidRDefault="00E33E37" w:rsidP="00064952">
      <w:pPr>
        <w:shd w:val="clear" w:color="auto" w:fill="FFFFFF"/>
        <w:spacing w:after="0" w:line="240" w:lineRule="auto"/>
      </w:pPr>
    </w:p>
    <w:p w14:paraId="48525D45" w14:textId="757D0F5B" w:rsidR="00E33E37" w:rsidRPr="0005406E" w:rsidRDefault="00E33E37" w:rsidP="00E33E37">
      <w:pPr>
        <w:shd w:val="clear" w:color="auto" w:fill="FFFFFF"/>
        <w:spacing w:after="0" w:line="240" w:lineRule="auto"/>
        <w:rPr>
          <w:rFonts w:eastAsia="Times New Roman" w:cs="Arial"/>
          <w:color w:val="222222"/>
          <w:sz w:val="22"/>
          <w:szCs w:val="22"/>
          <w:lang w:eastAsia="pt-BR"/>
        </w:rPr>
      </w:pPr>
      <w:r>
        <w:rPr>
          <w:rFonts w:ascii="Calibri" w:hAnsi="Calibri"/>
          <w:b/>
          <w:bCs/>
          <w:color w:val="222222"/>
          <w:sz w:val="22"/>
          <w:szCs w:val="22"/>
        </w:rPr>
        <w:lastRenderedPageBreak/>
        <w:t>VENTILADORES DE MESA</w:t>
      </w:r>
      <w:r w:rsidRPr="0005406E">
        <w:rPr>
          <w:rFonts w:ascii="Calibri" w:hAnsi="Calibri"/>
          <w:b/>
          <w:bCs/>
          <w:color w:val="222222"/>
          <w:sz w:val="22"/>
          <w:szCs w:val="22"/>
        </w:rPr>
        <w:t xml:space="preserve"> (NCM </w:t>
      </w:r>
      <w:r>
        <w:rPr>
          <w:rFonts w:ascii="Calibri" w:hAnsi="Calibri"/>
          <w:b/>
          <w:bCs/>
          <w:color w:val="222222"/>
          <w:sz w:val="22"/>
          <w:szCs w:val="22"/>
        </w:rPr>
        <w:t>8</w:t>
      </w:r>
      <w:r w:rsidRPr="005B0B25">
        <w:rPr>
          <w:b/>
          <w:bCs/>
          <w:sz w:val="22"/>
          <w:szCs w:val="22"/>
        </w:rPr>
        <w:t>4</w:t>
      </w:r>
      <w:r>
        <w:rPr>
          <w:b/>
          <w:bCs/>
          <w:sz w:val="22"/>
          <w:szCs w:val="22"/>
        </w:rPr>
        <w:t>14.51.10</w:t>
      </w:r>
      <w:r w:rsidRPr="0005406E">
        <w:rPr>
          <w:rFonts w:ascii="Calibri" w:hAnsi="Calibri"/>
          <w:b/>
          <w:bCs/>
          <w:color w:val="000000"/>
          <w:sz w:val="22"/>
          <w:szCs w:val="22"/>
        </w:rPr>
        <w:t>)</w:t>
      </w:r>
      <w:r w:rsidRPr="0005406E">
        <w:rPr>
          <w:rFonts w:ascii="Calibri" w:hAnsi="Calibri"/>
          <w:b/>
          <w:bCs/>
          <w:color w:val="222222"/>
          <w:sz w:val="22"/>
          <w:szCs w:val="22"/>
        </w:rPr>
        <w:t> –</w:t>
      </w:r>
      <w:r w:rsidRPr="0005406E">
        <w:rPr>
          <w:rFonts w:ascii="Calibri" w:hAnsi="Calibri"/>
          <w:color w:val="222222"/>
          <w:sz w:val="22"/>
          <w:szCs w:val="22"/>
        </w:rPr>
        <w:t> A SE</w:t>
      </w:r>
      <w:r>
        <w:rPr>
          <w:rFonts w:ascii="Calibri" w:hAnsi="Calibri"/>
          <w:color w:val="222222"/>
          <w:sz w:val="22"/>
          <w:szCs w:val="22"/>
        </w:rPr>
        <w:t>CINT</w:t>
      </w:r>
      <w:r w:rsidRPr="005B0B25">
        <w:rPr>
          <w:sz w:val="22"/>
          <w:szCs w:val="22"/>
        </w:rPr>
        <w:t xml:space="preserve"> </w:t>
      </w:r>
      <w:r>
        <w:rPr>
          <w:sz w:val="22"/>
          <w:szCs w:val="22"/>
        </w:rPr>
        <w:t>p</w:t>
      </w:r>
      <w:r w:rsidRPr="001C05A2">
        <w:rPr>
          <w:sz w:val="22"/>
          <w:szCs w:val="22"/>
        </w:rPr>
        <w:t>rorrog</w:t>
      </w:r>
      <w:r>
        <w:rPr>
          <w:sz w:val="22"/>
          <w:szCs w:val="22"/>
        </w:rPr>
        <w:t xml:space="preserve">ou </w:t>
      </w:r>
      <w:r w:rsidRPr="00C209A6">
        <w:rPr>
          <w:sz w:val="22"/>
          <w:szCs w:val="22"/>
        </w:rPr>
        <w:t>a aplicação do direito antidumping definitivo</w:t>
      </w:r>
      <w:r>
        <w:rPr>
          <w:sz w:val="22"/>
          <w:szCs w:val="22"/>
        </w:rPr>
        <w:t xml:space="preserve"> até 30/6/2024</w:t>
      </w:r>
      <w:r w:rsidRPr="00C209A6">
        <w:rPr>
          <w:sz w:val="22"/>
          <w:szCs w:val="22"/>
        </w:rPr>
        <w:t xml:space="preserve">, às importações de ventiladores de mesa, acima de 15 cm, com motor elétrico incorporado, de potência não superior a 125W, </w:t>
      </w:r>
      <w:r>
        <w:rPr>
          <w:sz w:val="22"/>
          <w:szCs w:val="22"/>
        </w:rPr>
        <w:t>NCM</w:t>
      </w:r>
      <w:r w:rsidRPr="00C209A6">
        <w:rPr>
          <w:sz w:val="22"/>
          <w:szCs w:val="22"/>
        </w:rPr>
        <w:t xml:space="preserve"> 8414.51.10</w:t>
      </w:r>
      <w:r>
        <w:rPr>
          <w:sz w:val="22"/>
          <w:szCs w:val="22"/>
        </w:rPr>
        <w:t>,</w:t>
      </w:r>
      <w:r w:rsidRPr="00C209A6">
        <w:rPr>
          <w:sz w:val="22"/>
          <w:szCs w:val="22"/>
        </w:rPr>
        <w:t xml:space="preserve"> originárias da China, </w:t>
      </w:r>
      <w:r>
        <w:rPr>
          <w:sz w:val="22"/>
          <w:szCs w:val="22"/>
        </w:rPr>
        <w:t xml:space="preserve">no valor de US$ 11,76/unidade. </w:t>
      </w:r>
      <w:r w:rsidRPr="0005406E">
        <w:rPr>
          <w:rFonts w:ascii="Calibri" w:hAnsi="Calibri"/>
          <w:color w:val="222222"/>
          <w:sz w:val="22"/>
          <w:szCs w:val="22"/>
        </w:rPr>
        <w:t xml:space="preserve">A mercadoria está sujeita a licenciamento </w:t>
      </w:r>
      <w:r w:rsidR="003A2CA3">
        <w:rPr>
          <w:rFonts w:ascii="Calibri" w:hAnsi="Calibri"/>
          <w:color w:val="222222"/>
          <w:sz w:val="22"/>
          <w:szCs w:val="22"/>
        </w:rPr>
        <w:t xml:space="preserve">não </w:t>
      </w:r>
      <w:r w:rsidRPr="0005406E">
        <w:rPr>
          <w:rFonts w:ascii="Calibri" w:hAnsi="Calibri"/>
          <w:color w:val="222222"/>
          <w:sz w:val="22"/>
          <w:szCs w:val="22"/>
        </w:rPr>
        <w:t>automático, sob anuência d</w:t>
      </w:r>
      <w:r w:rsidR="003A2CA3">
        <w:rPr>
          <w:rFonts w:ascii="Calibri" w:hAnsi="Calibri"/>
          <w:color w:val="222222"/>
          <w:sz w:val="22"/>
          <w:szCs w:val="22"/>
        </w:rPr>
        <w:t>a SECEX</w:t>
      </w:r>
      <w:r w:rsidRPr="0005406E">
        <w:rPr>
          <w:rFonts w:ascii="Calibri" w:hAnsi="Calibri"/>
          <w:color w:val="222222"/>
          <w:sz w:val="22"/>
          <w:szCs w:val="22"/>
        </w:rPr>
        <w:t>, desde 201</w:t>
      </w:r>
      <w:r w:rsidR="003A2CA3">
        <w:rPr>
          <w:rFonts w:ascii="Calibri" w:hAnsi="Calibri"/>
          <w:color w:val="222222"/>
          <w:sz w:val="22"/>
          <w:szCs w:val="22"/>
        </w:rPr>
        <w:t>2</w:t>
      </w:r>
      <w:r w:rsidRPr="0005406E">
        <w:rPr>
          <w:rFonts w:ascii="Calibri" w:hAnsi="Calibri"/>
          <w:color w:val="222222"/>
          <w:sz w:val="22"/>
          <w:szCs w:val="22"/>
        </w:rPr>
        <w:t> (</w:t>
      </w:r>
      <w:r>
        <w:rPr>
          <w:rFonts w:ascii="Calibri" w:hAnsi="Calibri"/>
          <w:color w:val="222222"/>
          <w:sz w:val="22"/>
          <w:szCs w:val="22"/>
        </w:rPr>
        <w:t>Portaria SECINT</w:t>
      </w:r>
      <w:r w:rsidRPr="0005406E">
        <w:rPr>
          <w:rFonts w:ascii="Calibri" w:hAnsi="Calibri"/>
          <w:color w:val="222222"/>
          <w:sz w:val="22"/>
          <w:szCs w:val="22"/>
        </w:rPr>
        <w:t xml:space="preserve"> n°</w:t>
      </w:r>
      <w:r>
        <w:rPr>
          <w:rFonts w:ascii="Calibri" w:hAnsi="Calibri"/>
          <w:color w:val="222222"/>
          <w:sz w:val="22"/>
          <w:szCs w:val="22"/>
        </w:rPr>
        <w:t xml:space="preserve"> 474, de</w:t>
      </w:r>
      <w:r w:rsidRPr="0005406E">
        <w:rPr>
          <w:rFonts w:ascii="Calibri" w:hAnsi="Calibri"/>
          <w:color w:val="222222"/>
          <w:sz w:val="22"/>
          <w:szCs w:val="22"/>
        </w:rPr>
        <w:t xml:space="preserve"> </w:t>
      </w:r>
      <w:r>
        <w:rPr>
          <w:rFonts w:ascii="Calibri" w:hAnsi="Calibri"/>
          <w:color w:val="222222"/>
          <w:sz w:val="22"/>
          <w:szCs w:val="22"/>
        </w:rPr>
        <w:t>28</w:t>
      </w:r>
      <w:r w:rsidRPr="0005406E">
        <w:rPr>
          <w:rFonts w:ascii="Calibri" w:hAnsi="Calibri"/>
          <w:color w:val="222222"/>
          <w:sz w:val="22"/>
          <w:szCs w:val="22"/>
        </w:rPr>
        <w:t xml:space="preserve">/06/2019, DOU </w:t>
      </w:r>
      <w:r>
        <w:rPr>
          <w:rFonts w:ascii="Calibri" w:hAnsi="Calibri"/>
          <w:color w:val="222222"/>
          <w:sz w:val="22"/>
          <w:szCs w:val="22"/>
        </w:rPr>
        <w:t>0</w:t>
      </w:r>
      <w:r w:rsidRPr="0005406E">
        <w:rPr>
          <w:rFonts w:ascii="Calibri" w:hAnsi="Calibri"/>
          <w:color w:val="222222"/>
          <w:sz w:val="22"/>
          <w:szCs w:val="22"/>
        </w:rPr>
        <w:t>1/0</w:t>
      </w:r>
      <w:r>
        <w:rPr>
          <w:rFonts w:ascii="Calibri" w:hAnsi="Calibri"/>
          <w:color w:val="222222"/>
          <w:sz w:val="22"/>
          <w:szCs w:val="22"/>
        </w:rPr>
        <w:t>7</w:t>
      </w:r>
      <w:r w:rsidRPr="0005406E">
        <w:rPr>
          <w:rFonts w:ascii="Calibri" w:hAnsi="Calibri"/>
          <w:color w:val="222222"/>
          <w:sz w:val="22"/>
          <w:szCs w:val="22"/>
        </w:rPr>
        <w:t>/2019).</w:t>
      </w:r>
    </w:p>
    <w:p w14:paraId="7C717688" w14:textId="27DD3EA3" w:rsidR="00651BB2" w:rsidRDefault="00651BB2" w:rsidP="00064952">
      <w:pPr>
        <w:shd w:val="clear" w:color="auto" w:fill="FFFFFF"/>
        <w:spacing w:after="0" w:line="240" w:lineRule="auto"/>
      </w:pPr>
    </w:p>
    <w:p w14:paraId="33132B75" w14:textId="77777777" w:rsidR="00E33E37" w:rsidRDefault="00E33E37" w:rsidP="00651BB2">
      <w:pPr>
        <w:shd w:val="clear" w:color="auto" w:fill="FFFFFF"/>
        <w:spacing w:after="0" w:line="240" w:lineRule="auto"/>
        <w:rPr>
          <w:rFonts w:ascii="Calibri" w:hAnsi="Calibri"/>
          <w:b/>
          <w:bCs/>
          <w:color w:val="222222"/>
          <w:sz w:val="22"/>
          <w:szCs w:val="22"/>
        </w:rPr>
      </w:pPr>
    </w:p>
    <w:p w14:paraId="4B42383F" w14:textId="77777777" w:rsidR="00E33E37" w:rsidRDefault="00E33E37" w:rsidP="00651BB2">
      <w:pPr>
        <w:shd w:val="clear" w:color="auto" w:fill="FFFFFF"/>
        <w:spacing w:after="0" w:line="240" w:lineRule="auto"/>
        <w:rPr>
          <w:rFonts w:ascii="Calibri" w:hAnsi="Calibri"/>
          <w:b/>
          <w:bCs/>
          <w:color w:val="222222"/>
          <w:sz w:val="22"/>
          <w:szCs w:val="22"/>
        </w:rPr>
      </w:pPr>
    </w:p>
    <w:p w14:paraId="050F05A4" w14:textId="77777777" w:rsidR="00E33E37" w:rsidRDefault="00E33E37" w:rsidP="00651BB2">
      <w:pPr>
        <w:shd w:val="clear" w:color="auto" w:fill="FFFFFF"/>
        <w:spacing w:after="0" w:line="240" w:lineRule="auto"/>
        <w:rPr>
          <w:rFonts w:ascii="Calibri" w:hAnsi="Calibri"/>
          <w:b/>
          <w:bCs/>
          <w:color w:val="222222"/>
          <w:sz w:val="22"/>
          <w:szCs w:val="22"/>
        </w:rPr>
      </w:pPr>
    </w:p>
    <w:p w14:paraId="548B8529" w14:textId="36758B98" w:rsidR="00651BB2" w:rsidRPr="0005406E" w:rsidRDefault="00651BB2" w:rsidP="00651BB2">
      <w:pPr>
        <w:shd w:val="clear" w:color="auto" w:fill="FFFFFF"/>
        <w:spacing w:after="0" w:line="240" w:lineRule="auto"/>
        <w:rPr>
          <w:rFonts w:eastAsia="Times New Roman" w:cs="Arial"/>
          <w:color w:val="222222"/>
          <w:sz w:val="22"/>
          <w:szCs w:val="22"/>
          <w:lang w:eastAsia="pt-BR"/>
        </w:rPr>
      </w:pPr>
      <w:r>
        <w:rPr>
          <w:rFonts w:ascii="Calibri" w:hAnsi="Calibri"/>
          <w:b/>
          <w:bCs/>
          <w:color w:val="222222"/>
          <w:sz w:val="22"/>
          <w:szCs w:val="22"/>
        </w:rPr>
        <w:t>CILINDROS DE LAMINAÇÃO DE AÇO</w:t>
      </w:r>
      <w:r w:rsidRPr="0005406E">
        <w:rPr>
          <w:rFonts w:ascii="Calibri" w:hAnsi="Calibri"/>
          <w:b/>
          <w:bCs/>
          <w:color w:val="222222"/>
          <w:sz w:val="22"/>
          <w:szCs w:val="22"/>
        </w:rPr>
        <w:t xml:space="preserve"> (NCM </w:t>
      </w:r>
      <w:r>
        <w:rPr>
          <w:rFonts w:ascii="Calibri" w:hAnsi="Calibri"/>
          <w:b/>
          <w:bCs/>
          <w:color w:val="222222"/>
          <w:sz w:val="22"/>
          <w:szCs w:val="22"/>
        </w:rPr>
        <w:t>8</w:t>
      </w:r>
      <w:r w:rsidRPr="005B0B25">
        <w:rPr>
          <w:b/>
          <w:bCs/>
          <w:sz w:val="22"/>
          <w:szCs w:val="22"/>
        </w:rPr>
        <w:t>4</w:t>
      </w:r>
      <w:r>
        <w:rPr>
          <w:b/>
          <w:bCs/>
          <w:sz w:val="22"/>
          <w:szCs w:val="22"/>
        </w:rPr>
        <w:t>55.30.10 E 8455.30.90</w:t>
      </w:r>
      <w:r w:rsidRPr="0005406E">
        <w:rPr>
          <w:rFonts w:ascii="Calibri" w:hAnsi="Calibri"/>
          <w:b/>
          <w:bCs/>
          <w:color w:val="000000"/>
          <w:sz w:val="22"/>
          <w:szCs w:val="22"/>
        </w:rPr>
        <w:t>)</w:t>
      </w:r>
      <w:r w:rsidRPr="0005406E">
        <w:rPr>
          <w:rFonts w:ascii="Calibri" w:hAnsi="Calibri"/>
          <w:b/>
          <w:bCs/>
          <w:color w:val="222222"/>
          <w:sz w:val="22"/>
          <w:szCs w:val="22"/>
        </w:rPr>
        <w:t> –</w:t>
      </w:r>
      <w:r w:rsidRPr="0005406E">
        <w:rPr>
          <w:rFonts w:ascii="Calibri" w:hAnsi="Calibri"/>
          <w:color w:val="222222"/>
          <w:sz w:val="22"/>
          <w:szCs w:val="22"/>
        </w:rPr>
        <w:t> A SE</w:t>
      </w:r>
      <w:r>
        <w:rPr>
          <w:rFonts w:ascii="Calibri" w:hAnsi="Calibri"/>
          <w:color w:val="222222"/>
          <w:sz w:val="22"/>
          <w:szCs w:val="22"/>
        </w:rPr>
        <w:t>C</w:t>
      </w:r>
      <w:r>
        <w:rPr>
          <w:rFonts w:ascii="Calibri" w:hAnsi="Calibri"/>
          <w:color w:val="222222"/>
          <w:sz w:val="22"/>
          <w:szCs w:val="22"/>
        </w:rPr>
        <w:t>EX e</w:t>
      </w:r>
      <w:r w:rsidRPr="00C209A6">
        <w:rPr>
          <w:sz w:val="22"/>
          <w:szCs w:val="22"/>
        </w:rPr>
        <w:t>ncerr</w:t>
      </w:r>
      <w:r>
        <w:rPr>
          <w:sz w:val="22"/>
          <w:szCs w:val="22"/>
        </w:rPr>
        <w:t>ou</w:t>
      </w:r>
      <w:r w:rsidRPr="00C209A6">
        <w:rPr>
          <w:sz w:val="22"/>
          <w:szCs w:val="22"/>
        </w:rPr>
        <w:t xml:space="preserve"> a investigação iniciada por intermédio da Circular SECEX no 14, de 2018, sem aplicação de medida de defesa comercial, uma vez que não houve comprovação de dano causado à indústria doméstica pelas importações de cilindros de laminação, de ferro ou aço fundidos, com diâmetro externo da mesa de trabalho igual ou superior a 250 mm, mas não superior a 1.850 mm, e com comprimento da mesa de trabalho igual ou superior a 150 mm, mas não superior a 1.300 mm, </w:t>
      </w:r>
      <w:r>
        <w:rPr>
          <w:sz w:val="22"/>
          <w:szCs w:val="22"/>
        </w:rPr>
        <w:t>NCM</w:t>
      </w:r>
      <w:r w:rsidRPr="00C209A6">
        <w:rPr>
          <w:sz w:val="22"/>
          <w:szCs w:val="22"/>
        </w:rPr>
        <w:t xml:space="preserve"> 8455.30.10 e 8455.30.90</w:t>
      </w:r>
      <w:r>
        <w:rPr>
          <w:sz w:val="22"/>
          <w:szCs w:val="22"/>
        </w:rPr>
        <w:t>.</w:t>
      </w:r>
      <w:r w:rsidR="003A2CA3">
        <w:rPr>
          <w:sz w:val="22"/>
          <w:szCs w:val="22"/>
        </w:rPr>
        <w:t xml:space="preserve"> </w:t>
      </w:r>
      <w:r w:rsidRPr="0005406E">
        <w:rPr>
          <w:rFonts w:ascii="Calibri" w:hAnsi="Calibri"/>
          <w:color w:val="222222"/>
          <w:sz w:val="22"/>
          <w:szCs w:val="22"/>
        </w:rPr>
        <w:t xml:space="preserve">A mercadoria </w:t>
      </w:r>
      <w:r w:rsidR="003A2CA3">
        <w:rPr>
          <w:rFonts w:ascii="Calibri" w:hAnsi="Calibri"/>
          <w:color w:val="222222"/>
          <w:sz w:val="22"/>
          <w:szCs w:val="22"/>
        </w:rPr>
        <w:t xml:space="preserve">não </w:t>
      </w:r>
      <w:r w:rsidRPr="0005406E">
        <w:rPr>
          <w:rFonts w:ascii="Calibri" w:hAnsi="Calibri"/>
          <w:color w:val="222222"/>
          <w:sz w:val="22"/>
          <w:szCs w:val="22"/>
        </w:rPr>
        <w:t>está sujeita a licenciamento</w:t>
      </w:r>
      <w:r w:rsidR="003A2CA3">
        <w:rPr>
          <w:rFonts w:ascii="Calibri" w:hAnsi="Calibri"/>
          <w:color w:val="222222"/>
          <w:sz w:val="22"/>
          <w:szCs w:val="22"/>
        </w:rPr>
        <w:t>.</w:t>
      </w:r>
      <w:r w:rsidRPr="0005406E">
        <w:rPr>
          <w:rFonts w:ascii="Calibri" w:hAnsi="Calibri"/>
          <w:color w:val="222222"/>
          <w:sz w:val="22"/>
          <w:szCs w:val="22"/>
        </w:rPr>
        <w:t> (</w:t>
      </w:r>
      <w:r>
        <w:rPr>
          <w:rFonts w:ascii="Calibri" w:hAnsi="Calibri"/>
          <w:color w:val="222222"/>
          <w:sz w:val="22"/>
          <w:szCs w:val="22"/>
        </w:rPr>
        <w:t>Circular</w:t>
      </w:r>
      <w:r>
        <w:rPr>
          <w:rFonts w:ascii="Calibri" w:hAnsi="Calibri"/>
          <w:color w:val="222222"/>
          <w:sz w:val="22"/>
          <w:szCs w:val="22"/>
        </w:rPr>
        <w:t xml:space="preserve"> SEC</w:t>
      </w:r>
      <w:r>
        <w:rPr>
          <w:rFonts w:ascii="Calibri" w:hAnsi="Calibri"/>
          <w:color w:val="222222"/>
          <w:sz w:val="22"/>
          <w:szCs w:val="22"/>
        </w:rPr>
        <w:t>EX</w:t>
      </w:r>
      <w:r w:rsidRPr="0005406E">
        <w:rPr>
          <w:rFonts w:ascii="Calibri" w:hAnsi="Calibri"/>
          <w:color w:val="222222"/>
          <w:sz w:val="22"/>
          <w:szCs w:val="22"/>
        </w:rPr>
        <w:t xml:space="preserve"> n°</w:t>
      </w:r>
      <w:r>
        <w:rPr>
          <w:rFonts w:ascii="Calibri" w:hAnsi="Calibri"/>
          <w:color w:val="222222"/>
          <w:sz w:val="22"/>
          <w:szCs w:val="22"/>
        </w:rPr>
        <w:t xml:space="preserve"> </w:t>
      </w:r>
      <w:r>
        <w:rPr>
          <w:rFonts w:ascii="Calibri" w:hAnsi="Calibri"/>
          <w:color w:val="222222"/>
          <w:sz w:val="22"/>
          <w:szCs w:val="22"/>
        </w:rPr>
        <w:t>38</w:t>
      </w:r>
      <w:r>
        <w:rPr>
          <w:rFonts w:ascii="Calibri" w:hAnsi="Calibri"/>
          <w:color w:val="222222"/>
          <w:sz w:val="22"/>
          <w:szCs w:val="22"/>
        </w:rPr>
        <w:t>, de</w:t>
      </w:r>
      <w:r w:rsidRPr="0005406E">
        <w:rPr>
          <w:rFonts w:ascii="Calibri" w:hAnsi="Calibri"/>
          <w:color w:val="222222"/>
          <w:sz w:val="22"/>
          <w:szCs w:val="22"/>
        </w:rPr>
        <w:t xml:space="preserve"> </w:t>
      </w:r>
      <w:r>
        <w:rPr>
          <w:rFonts w:ascii="Calibri" w:hAnsi="Calibri"/>
          <w:color w:val="222222"/>
          <w:sz w:val="22"/>
          <w:szCs w:val="22"/>
        </w:rPr>
        <w:t>28</w:t>
      </w:r>
      <w:r w:rsidRPr="0005406E">
        <w:rPr>
          <w:rFonts w:ascii="Calibri" w:hAnsi="Calibri"/>
          <w:color w:val="222222"/>
          <w:sz w:val="22"/>
          <w:szCs w:val="22"/>
        </w:rPr>
        <w:t xml:space="preserve">/06/2019, DOU </w:t>
      </w:r>
      <w:r>
        <w:rPr>
          <w:rFonts w:ascii="Calibri" w:hAnsi="Calibri"/>
          <w:color w:val="222222"/>
          <w:sz w:val="22"/>
          <w:szCs w:val="22"/>
        </w:rPr>
        <w:t>0</w:t>
      </w:r>
      <w:r w:rsidRPr="0005406E">
        <w:rPr>
          <w:rFonts w:ascii="Calibri" w:hAnsi="Calibri"/>
          <w:color w:val="222222"/>
          <w:sz w:val="22"/>
          <w:szCs w:val="22"/>
        </w:rPr>
        <w:t>1/0</w:t>
      </w:r>
      <w:r>
        <w:rPr>
          <w:rFonts w:ascii="Calibri" w:hAnsi="Calibri"/>
          <w:color w:val="222222"/>
          <w:sz w:val="22"/>
          <w:szCs w:val="22"/>
        </w:rPr>
        <w:t>7</w:t>
      </w:r>
      <w:r w:rsidRPr="0005406E">
        <w:rPr>
          <w:rFonts w:ascii="Calibri" w:hAnsi="Calibri"/>
          <w:color w:val="222222"/>
          <w:sz w:val="22"/>
          <w:szCs w:val="22"/>
        </w:rPr>
        <w:t>/2019).</w:t>
      </w:r>
    </w:p>
    <w:p w14:paraId="6DB8B72C" w14:textId="2384E1DC" w:rsidR="00651BB2" w:rsidRDefault="00651BB2" w:rsidP="00064952">
      <w:pPr>
        <w:shd w:val="clear" w:color="auto" w:fill="FFFFFF"/>
        <w:spacing w:after="0" w:line="240" w:lineRule="auto"/>
      </w:pPr>
    </w:p>
    <w:p w14:paraId="3BD96B65" w14:textId="1EF9DD8E" w:rsidR="00C86DB8" w:rsidRDefault="00C86DB8" w:rsidP="00064952">
      <w:pPr>
        <w:shd w:val="clear" w:color="auto" w:fill="FFFFFF"/>
        <w:spacing w:after="0" w:line="240" w:lineRule="auto"/>
      </w:pPr>
    </w:p>
    <w:p w14:paraId="5D7D9991" w14:textId="1361D608" w:rsidR="00C86DB8" w:rsidRPr="00C86DB8" w:rsidRDefault="00115B35" w:rsidP="00115B35">
      <w:pPr>
        <w:shd w:val="clear" w:color="auto" w:fill="FFFFFF"/>
        <w:spacing w:after="0" w:line="240" w:lineRule="auto"/>
        <w:rPr>
          <w:rFonts w:ascii="Times New Roman" w:eastAsia="Times New Roman" w:hAnsi="Times New Roman" w:cs="Times New Roman"/>
          <w:color w:val="222222"/>
          <w:sz w:val="22"/>
          <w:szCs w:val="22"/>
          <w:lang w:eastAsia="pt-BR"/>
        </w:rPr>
      </w:pPr>
      <w:r>
        <w:rPr>
          <w:rFonts w:ascii="Calibri" w:eastAsia="Times New Roman" w:hAnsi="Calibri" w:cs="Times New Roman"/>
          <w:b/>
          <w:bCs/>
          <w:color w:val="222222"/>
          <w:sz w:val="22"/>
          <w:szCs w:val="22"/>
          <w:lang w:eastAsia="pt-BR"/>
        </w:rPr>
        <w:t>FILTROS CERAMICOS REFRATÁRIOS</w:t>
      </w:r>
      <w:r w:rsidR="00C86DB8" w:rsidRPr="00C86DB8">
        <w:rPr>
          <w:rFonts w:ascii="Calibri" w:eastAsia="Times New Roman" w:hAnsi="Calibri" w:cs="Times New Roman"/>
          <w:b/>
          <w:bCs/>
          <w:color w:val="222222"/>
          <w:sz w:val="22"/>
          <w:szCs w:val="22"/>
          <w:lang w:eastAsia="pt-BR"/>
        </w:rPr>
        <w:t xml:space="preserve"> (NCM </w:t>
      </w:r>
      <w:r>
        <w:rPr>
          <w:rFonts w:ascii="Calibri" w:eastAsia="Times New Roman" w:hAnsi="Calibri" w:cs="Times New Roman"/>
          <w:b/>
          <w:bCs/>
          <w:color w:val="222222"/>
          <w:sz w:val="22"/>
          <w:szCs w:val="22"/>
          <w:lang w:eastAsia="pt-BR"/>
        </w:rPr>
        <w:t>6903.90.91 E 6903.90.99</w:t>
      </w:r>
      <w:r w:rsidR="00C86DB8" w:rsidRPr="00C86DB8">
        <w:rPr>
          <w:rFonts w:ascii="Calibri" w:eastAsia="Times New Roman" w:hAnsi="Calibri" w:cs="Times New Roman"/>
          <w:b/>
          <w:bCs/>
          <w:color w:val="222222"/>
          <w:sz w:val="22"/>
          <w:szCs w:val="22"/>
          <w:lang w:eastAsia="pt-BR"/>
        </w:rPr>
        <w:t>) - </w:t>
      </w:r>
      <w:r w:rsidR="00C86DB8" w:rsidRPr="00C86DB8">
        <w:rPr>
          <w:rFonts w:ascii="Calibri" w:eastAsia="Times New Roman" w:hAnsi="Calibri" w:cs="Times New Roman"/>
          <w:color w:val="222222"/>
          <w:sz w:val="22"/>
          <w:szCs w:val="22"/>
          <w:lang w:eastAsia="pt-BR"/>
        </w:rPr>
        <w:t xml:space="preserve">A SECEX iniciou revisão do direito antidumping instituído pela Resolução CAMEX nº </w:t>
      </w:r>
      <w:r>
        <w:rPr>
          <w:rFonts w:ascii="Calibri" w:eastAsia="Times New Roman" w:hAnsi="Calibri" w:cs="Times New Roman"/>
          <w:color w:val="222222"/>
          <w:sz w:val="22"/>
          <w:szCs w:val="22"/>
          <w:lang w:eastAsia="pt-BR"/>
        </w:rPr>
        <w:t>47</w:t>
      </w:r>
      <w:r w:rsidR="00C86DB8" w:rsidRPr="00C86DB8">
        <w:rPr>
          <w:rFonts w:ascii="Calibri" w:eastAsia="Times New Roman" w:hAnsi="Calibri" w:cs="Times New Roman"/>
          <w:color w:val="222222"/>
          <w:sz w:val="22"/>
          <w:szCs w:val="22"/>
          <w:lang w:eastAsia="pt-BR"/>
        </w:rPr>
        <w:t>, de 201</w:t>
      </w:r>
      <w:r>
        <w:rPr>
          <w:rFonts w:ascii="Calibri" w:eastAsia="Times New Roman" w:hAnsi="Calibri" w:cs="Times New Roman"/>
          <w:color w:val="222222"/>
          <w:sz w:val="22"/>
          <w:szCs w:val="22"/>
          <w:lang w:eastAsia="pt-BR"/>
        </w:rPr>
        <w:t>4</w:t>
      </w:r>
      <w:r w:rsidR="00C86DB8" w:rsidRPr="00C86DB8">
        <w:rPr>
          <w:rFonts w:ascii="Calibri" w:eastAsia="Times New Roman" w:hAnsi="Calibri" w:cs="Times New Roman"/>
          <w:color w:val="222222"/>
          <w:sz w:val="22"/>
          <w:szCs w:val="22"/>
          <w:lang w:eastAsia="pt-BR"/>
        </w:rPr>
        <w:t xml:space="preserve">, aplicado às importações de </w:t>
      </w:r>
      <w:r w:rsidRPr="00C209A6">
        <w:rPr>
          <w:sz w:val="22"/>
          <w:szCs w:val="22"/>
        </w:rPr>
        <w:t xml:space="preserve">filtros cerâmicos refratários, </w:t>
      </w:r>
      <w:r>
        <w:rPr>
          <w:sz w:val="22"/>
          <w:szCs w:val="22"/>
        </w:rPr>
        <w:t>NCM</w:t>
      </w:r>
      <w:r w:rsidRPr="00C209A6">
        <w:rPr>
          <w:sz w:val="22"/>
          <w:szCs w:val="22"/>
        </w:rPr>
        <w:t xml:space="preserve"> 6903.90.91 e 6903.90.99</w:t>
      </w:r>
      <w:r>
        <w:rPr>
          <w:sz w:val="22"/>
          <w:szCs w:val="22"/>
        </w:rPr>
        <w:t>,</w:t>
      </w:r>
      <w:r w:rsidRPr="00C209A6">
        <w:rPr>
          <w:sz w:val="22"/>
          <w:szCs w:val="22"/>
        </w:rPr>
        <w:t xml:space="preserve"> originários da China. A análise da probabilidade de continuação do dumping considerou o período de janeiro de 2014 a dezembro de 2018. Já a análise da probabilidade de continuação que antecedeu o início da revisão considerou o período de janeiro a dezembro de 2018.</w:t>
      </w:r>
      <w:r w:rsidR="00C86DB8" w:rsidRPr="00C86DB8">
        <w:rPr>
          <w:rFonts w:ascii="Calibri" w:eastAsia="Times New Roman" w:hAnsi="Calibri" w:cs="Times New Roman"/>
          <w:color w:val="222222"/>
          <w:sz w:val="22"/>
          <w:szCs w:val="22"/>
          <w:lang w:eastAsia="pt-BR"/>
        </w:rPr>
        <w:t xml:space="preserve"> A ABECE poderá colaborar com as associadas para dirimir dúvidas. Lembramos que as alíquotas aplicadas permanecerão vigentes durante a investigação. </w:t>
      </w:r>
      <w:r w:rsidR="00D37565">
        <w:rPr>
          <w:rFonts w:ascii="Calibri" w:eastAsia="Times New Roman" w:hAnsi="Calibri" w:cs="Times New Roman"/>
          <w:color w:val="222222"/>
          <w:sz w:val="22"/>
          <w:szCs w:val="22"/>
          <w:lang w:eastAsia="pt-BR"/>
        </w:rPr>
        <w:t>E que eventuais</w:t>
      </w:r>
      <w:r w:rsidR="00D37565" w:rsidRPr="00C209A6">
        <w:rPr>
          <w:sz w:val="22"/>
          <w:szCs w:val="22"/>
        </w:rPr>
        <w:t xml:space="preserve"> questionários de interesse público deverão ser protocolados no Sistema Eletrônico de Informações do Ministério da Economia - SEI/ME ou entregues em mídia eletrônica no protocolo da SDCOM, observados os termos dispostos na Portaria SECEX nº 8, de 2019</w:t>
      </w:r>
      <w:r w:rsidR="00D37565">
        <w:rPr>
          <w:sz w:val="22"/>
          <w:szCs w:val="22"/>
        </w:rPr>
        <w:t>.</w:t>
      </w:r>
      <w:r w:rsidR="003A2CA3">
        <w:rPr>
          <w:sz w:val="22"/>
          <w:szCs w:val="22"/>
        </w:rPr>
        <w:t xml:space="preserve"> </w:t>
      </w:r>
      <w:r w:rsidR="00C86DB8" w:rsidRPr="00C86DB8">
        <w:rPr>
          <w:rFonts w:ascii="Calibri" w:eastAsia="Times New Roman" w:hAnsi="Calibri" w:cs="Times New Roman"/>
          <w:color w:val="222222"/>
          <w:sz w:val="22"/>
          <w:szCs w:val="22"/>
          <w:lang w:eastAsia="pt-BR"/>
        </w:rPr>
        <w:t xml:space="preserve">A mercadoria segue sujeita a licenciamento  automático, com controle do DECEX, desde </w:t>
      </w:r>
      <w:r w:rsidR="003A2CA3">
        <w:rPr>
          <w:rFonts w:ascii="Calibri" w:eastAsia="Times New Roman" w:hAnsi="Calibri" w:cs="Times New Roman"/>
          <w:color w:val="222222"/>
          <w:sz w:val="22"/>
          <w:szCs w:val="22"/>
          <w:lang w:eastAsia="pt-BR"/>
        </w:rPr>
        <w:t>25/7</w:t>
      </w:r>
      <w:r w:rsidR="00C86DB8" w:rsidRPr="00C86DB8">
        <w:rPr>
          <w:rFonts w:ascii="Calibri" w:eastAsia="Times New Roman" w:hAnsi="Calibri" w:cs="Times New Roman"/>
          <w:color w:val="222222"/>
          <w:sz w:val="22"/>
          <w:szCs w:val="22"/>
          <w:lang w:eastAsia="pt-BR"/>
        </w:rPr>
        <w:t>/201</w:t>
      </w:r>
      <w:r w:rsidR="003A2CA3">
        <w:rPr>
          <w:rFonts w:ascii="Calibri" w:eastAsia="Times New Roman" w:hAnsi="Calibri" w:cs="Times New Roman"/>
          <w:color w:val="222222"/>
          <w:sz w:val="22"/>
          <w:szCs w:val="22"/>
          <w:lang w:eastAsia="pt-BR"/>
        </w:rPr>
        <w:t>4, e possui ainda destaque</w:t>
      </w:r>
      <w:r w:rsidR="00C86DB8" w:rsidRPr="00C86DB8">
        <w:rPr>
          <w:rFonts w:ascii="Calibri" w:eastAsia="Times New Roman" w:hAnsi="Calibri" w:cs="Times New Roman"/>
          <w:color w:val="222222"/>
          <w:sz w:val="22"/>
          <w:szCs w:val="22"/>
          <w:lang w:eastAsia="pt-BR"/>
        </w:rPr>
        <w:t>. (Circular Secex nº 3</w:t>
      </w:r>
      <w:r>
        <w:rPr>
          <w:rFonts w:ascii="Calibri" w:eastAsia="Times New Roman" w:hAnsi="Calibri" w:cs="Times New Roman"/>
          <w:color w:val="222222"/>
          <w:sz w:val="22"/>
          <w:szCs w:val="22"/>
          <w:lang w:eastAsia="pt-BR"/>
        </w:rPr>
        <w:t>9</w:t>
      </w:r>
      <w:r w:rsidR="00C86DB8" w:rsidRPr="00C86DB8">
        <w:rPr>
          <w:rFonts w:ascii="Calibri" w:eastAsia="Times New Roman" w:hAnsi="Calibri" w:cs="Times New Roman"/>
          <w:color w:val="222222"/>
          <w:sz w:val="22"/>
          <w:szCs w:val="22"/>
          <w:lang w:eastAsia="pt-BR"/>
        </w:rPr>
        <w:t xml:space="preserve">, de </w:t>
      </w:r>
      <w:r>
        <w:rPr>
          <w:rFonts w:ascii="Calibri" w:eastAsia="Times New Roman" w:hAnsi="Calibri" w:cs="Times New Roman"/>
          <w:color w:val="222222"/>
          <w:sz w:val="22"/>
          <w:szCs w:val="22"/>
          <w:lang w:eastAsia="pt-BR"/>
        </w:rPr>
        <w:t>2</w:t>
      </w:r>
      <w:r w:rsidR="00C86DB8" w:rsidRPr="00C86DB8">
        <w:rPr>
          <w:rFonts w:ascii="Calibri" w:eastAsia="Times New Roman" w:hAnsi="Calibri" w:cs="Times New Roman"/>
          <w:color w:val="222222"/>
          <w:sz w:val="22"/>
          <w:szCs w:val="22"/>
          <w:lang w:eastAsia="pt-BR"/>
        </w:rPr>
        <w:t>8/</w:t>
      </w:r>
      <w:r>
        <w:rPr>
          <w:rFonts w:ascii="Calibri" w:eastAsia="Times New Roman" w:hAnsi="Calibri" w:cs="Times New Roman"/>
          <w:color w:val="222222"/>
          <w:sz w:val="22"/>
          <w:szCs w:val="22"/>
          <w:lang w:eastAsia="pt-BR"/>
        </w:rPr>
        <w:t>06</w:t>
      </w:r>
      <w:r w:rsidR="00C86DB8" w:rsidRPr="00C86DB8">
        <w:rPr>
          <w:rFonts w:ascii="Calibri" w:eastAsia="Times New Roman" w:hAnsi="Calibri" w:cs="Times New Roman"/>
          <w:color w:val="222222"/>
          <w:sz w:val="22"/>
          <w:szCs w:val="22"/>
          <w:lang w:eastAsia="pt-BR"/>
        </w:rPr>
        <w:t>/201</w:t>
      </w:r>
      <w:r>
        <w:rPr>
          <w:rFonts w:ascii="Calibri" w:eastAsia="Times New Roman" w:hAnsi="Calibri" w:cs="Times New Roman"/>
          <w:color w:val="222222"/>
          <w:sz w:val="22"/>
          <w:szCs w:val="22"/>
          <w:lang w:eastAsia="pt-BR"/>
        </w:rPr>
        <w:t>9</w:t>
      </w:r>
      <w:r w:rsidR="00C86DB8" w:rsidRPr="00C86DB8">
        <w:rPr>
          <w:rFonts w:ascii="Calibri" w:eastAsia="Times New Roman" w:hAnsi="Calibri" w:cs="Times New Roman"/>
          <w:color w:val="222222"/>
          <w:sz w:val="22"/>
          <w:szCs w:val="22"/>
          <w:lang w:eastAsia="pt-BR"/>
        </w:rPr>
        <w:t xml:space="preserve">, DOU </w:t>
      </w:r>
      <w:r>
        <w:rPr>
          <w:rFonts w:ascii="Calibri" w:eastAsia="Times New Roman" w:hAnsi="Calibri" w:cs="Times New Roman"/>
          <w:color w:val="222222"/>
          <w:sz w:val="22"/>
          <w:szCs w:val="22"/>
          <w:lang w:eastAsia="pt-BR"/>
        </w:rPr>
        <w:t>0</w:t>
      </w:r>
      <w:r w:rsidR="00C86DB8" w:rsidRPr="00C86DB8">
        <w:rPr>
          <w:rFonts w:ascii="Calibri" w:eastAsia="Times New Roman" w:hAnsi="Calibri" w:cs="Times New Roman"/>
          <w:color w:val="222222"/>
          <w:sz w:val="22"/>
          <w:szCs w:val="22"/>
          <w:lang w:eastAsia="pt-BR"/>
        </w:rPr>
        <w:t>1/</w:t>
      </w:r>
      <w:r>
        <w:rPr>
          <w:rFonts w:ascii="Calibri" w:eastAsia="Times New Roman" w:hAnsi="Calibri" w:cs="Times New Roman"/>
          <w:color w:val="222222"/>
          <w:sz w:val="22"/>
          <w:szCs w:val="22"/>
          <w:lang w:eastAsia="pt-BR"/>
        </w:rPr>
        <w:t>07</w:t>
      </w:r>
      <w:r w:rsidR="00C86DB8" w:rsidRPr="00C86DB8">
        <w:rPr>
          <w:rFonts w:ascii="Calibri" w:eastAsia="Times New Roman" w:hAnsi="Calibri" w:cs="Times New Roman"/>
          <w:color w:val="222222"/>
          <w:sz w:val="22"/>
          <w:szCs w:val="22"/>
          <w:lang w:eastAsia="pt-BR"/>
        </w:rPr>
        <w:t>/201</w:t>
      </w:r>
      <w:r>
        <w:rPr>
          <w:rFonts w:ascii="Calibri" w:eastAsia="Times New Roman" w:hAnsi="Calibri" w:cs="Times New Roman"/>
          <w:color w:val="222222"/>
          <w:sz w:val="22"/>
          <w:szCs w:val="22"/>
          <w:lang w:eastAsia="pt-BR"/>
        </w:rPr>
        <w:t>9</w:t>
      </w:r>
      <w:r w:rsidR="00C86DB8" w:rsidRPr="00C86DB8">
        <w:rPr>
          <w:rFonts w:ascii="Calibri" w:eastAsia="Times New Roman" w:hAnsi="Calibri" w:cs="Times New Roman"/>
          <w:color w:val="222222"/>
          <w:sz w:val="22"/>
          <w:szCs w:val="22"/>
          <w:lang w:eastAsia="pt-BR"/>
        </w:rPr>
        <w:t>):</w:t>
      </w:r>
    </w:p>
    <w:p w14:paraId="3679282B" w14:textId="653F1DBF" w:rsidR="00C86DB8" w:rsidRDefault="00C86DB8" w:rsidP="00C86DB8">
      <w:pPr>
        <w:shd w:val="clear" w:color="auto" w:fill="FFFFFF"/>
        <w:spacing w:after="0" w:line="240" w:lineRule="auto"/>
        <w:jc w:val="left"/>
        <w:rPr>
          <w:rFonts w:ascii="Arial" w:eastAsia="Times New Roman" w:hAnsi="Arial" w:cs="Arial"/>
          <w:color w:val="222222"/>
          <w:sz w:val="22"/>
          <w:szCs w:val="22"/>
          <w:lang w:eastAsia="pt-BR"/>
        </w:rPr>
      </w:pPr>
      <w:r w:rsidRPr="00C86DB8">
        <w:rPr>
          <w:rFonts w:ascii="Arial" w:eastAsia="Times New Roman" w:hAnsi="Arial" w:cs="Arial"/>
          <w:color w:val="222222"/>
          <w:sz w:val="22"/>
          <w:szCs w:val="22"/>
          <w:lang w:eastAsia="pt-BR"/>
        </w:rPr>
        <w:t> </w:t>
      </w:r>
    </w:p>
    <w:p w14:paraId="6106C0F3" w14:textId="77777777" w:rsidR="00C86DB8" w:rsidRPr="00C86DB8" w:rsidRDefault="00C86DB8" w:rsidP="00C86DB8">
      <w:pPr>
        <w:shd w:val="clear" w:color="auto" w:fill="FFFFFF"/>
        <w:spacing w:after="0" w:line="240" w:lineRule="auto"/>
        <w:jc w:val="left"/>
        <w:rPr>
          <w:rFonts w:ascii="Calibri" w:eastAsia="Times New Roman" w:hAnsi="Calibri" w:cs="Times New Roman"/>
          <w:color w:val="222222"/>
          <w:sz w:val="22"/>
          <w:szCs w:val="22"/>
          <w:lang w:eastAsia="pt-BR"/>
        </w:rPr>
      </w:pPr>
      <w:r w:rsidRPr="00C86DB8">
        <w:rPr>
          <w:rFonts w:ascii="Arial" w:eastAsia="Times New Roman" w:hAnsi="Arial" w:cs="Arial"/>
          <w:color w:val="222222"/>
          <w:sz w:val="22"/>
          <w:szCs w:val="22"/>
          <w:lang w:eastAsia="pt-BR"/>
        </w:rPr>
        <w:t> </w:t>
      </w:r>
    </w:p>
    <w:tbl>
      <w:tblPr>
        <w:tblW w:w="0" w:type="auto"/>
        <w:shd w:val="clear" w:color="auto" w:fill="FFFFFF"/>
        <w:tblCellMar>
          <w:left w:w="0" w:type="dxa"/>
          <w:right w:w="0" w:type="dxa"/>
        </w:tblCellMar>
        <w:tblLook w:val="04A0" w:firstRow="1" w:lastRow="0" w:firstColumn="1" w:lastColumn="0" w:noHBand="0" w:noVBand="1"/>
      </w:tblPr>
      <w:tblGrid>
        <w:gridCol w:w="4538"/>
        <w:gridCol w:w="3946"/>
      </w:tblGrid>
      <w:tr w:rsidR="00115B35" w:rsidRPr="00C86DB8" w14:paraId="34242AD3" w14:textId="77777777" w:rsidTr="00C86DB8">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25277B" w14:textId="77777777" w:rsidR="00C86DB8" w:rsidRPr="00C86DB8" w:rsidRDefault="00C86DB8" w:rsidP="00C86DB8">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ITEM</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688787" w14:textId="77777777" w:rsidR="00C86DB8" w:rsidRPr="00C86DB8" w:rsidRDefault="00C86DB8" w:rsidP="00C86DB8">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b/>
                <w:bCs/>
                <w:color w:val="222222"/>
                <w:sz w:val="22"/>
                <w:szCs w:val="22"/>
                <w:lang w:eastAsia="pt-BR"/>
              </w:rPr>
              <w:t>PRAZO</w:t>
            </w:r>
          </w:p>
        </w:tc>
      </w:tr>
      <w:tr w:rsidR="00115B35" w:rsidRPr="00C86DB8" w14:paraId="5496289E" w14:textId="77777777" w:rsidTr="00C86DB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8B9FE4" w14:textId="77777777" w:rsidR="00C86DB8" w:rsidRPr="00C86DB8" w:rsidRDefault="00C86DB8" w:rsidP="00C86DB8">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Habilitação de outras partes interessadas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81D35C" w14:textId="67AFA649" w:rsidR="00C86DB8" w:rsidRPr="00C86DB8" w:rsidRDefault="00115B35" w:rsidP="00C86DB8">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22</w:t>
            </w:r>
            <w:r w:rsidR="00C86DB8" w:rsidRPr="00C86DB8">
              <w:rPr>
                <w:rFonts w:ascii="Calibri" w:eastAsia="Times New Roman" w:hAnsi="Calibri" w:cs="Arial"/>
                <w:color w:val="222222"/>
                <w:sz w:val="22"/>
                <w:szCs w:val="22"/>
                <w:lang w:eastAsia="pt-BR"/>
              </w:rPr>
              <w:t>/0</w:t>
            </w:r>
            <w:r>
              <w:rPr>
                <w:rFonts w:ascii="Calibri" w:eastAsia="Times New Roman" w:hAnsi="Calibri" w:cs="Arial"/>
                <w:color w:val="222222"/>
                <w:sz w:val="22"/>
                <w:szCs w:val="22"/>
                <w:lang w:eastAsia="pt-BR"/>
              </w:rPr>
              <w:t>7</w:t>
            </w:r>
            <w:r w:rsidR="00C86DB8" w:rsidRPr="00C86DB8">
              <w:rPr>
                <w:rFonts w:ascii="Calibri" w:eastAsia="Times New Roman" w:hAnsi="Calibri" w:cs="Arial"/>
                <w:color w:val="222222"/>
                <w:sz w:val="22"/>
                <w:szCs w:val="22"/>
                <w:lang w:eastAsia="pt-BR"/>
              </w:rPr>
              <w:t>/2019</w:t>
            </w:r>
          </w:p>
        </w:tc>
      </w:tr>
      <w:tr w:rsidR="00115B35" w:rsidRPr="00C86DB8" w14:paraId="77815BDD" w14:textId="77777777" w:rsidTr="00C86DB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A11815" w14:textId="77777777" w:rsidR="00C86DB8" w:rsidRPr="00C86DB8" w:rsidRDefault="00C86DB8" w:rsidP="00C86DB8">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Resposta dos questionários remetidos pelo DECOM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259993" w14:textId="77777777" w:rsidR="00C86DB8" w:rsidRPr="00C86DB8" w:rsidRDefault="00C86DB8" w:rsidP="00C86DB8">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30 dias após recebimento</w:t>
            </w:r>
          </w:p>
        </w:tc>
      </w:tr>
      <w:tr w:rsidR="00115B35" w:rsidRPr="00C86DB8" w14:paraId="27B60B9B" w14:textId="77777777" w:rsidTr="00C86DB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AE27B9" w14:textId="77777777" w:rsidR="00C86DB8" w:rsidRPr="00C86DB8" w:rsidRDefault="00C86DB8" w:rsidP="00C86DB8">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Solicitação de audiências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36A71F" w14:textId="13E08B04" w:rsidR="00C86DB8" w:rsidRPr="00C86DB8" w:rsidRDefault="00115B35" w:rsidP="00C86DB8">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30</w:t>
            </w:r>
            <w:r w:rsidR="00C86DB8"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11/</w:t>
            </w:r>
            <w:r w:rsidR="00C86DB8" w:rsidRPr="00C86DB8">
              <w:rPr>
                <w:rFonts w:ascii="Calibri" w:eastAsia="Times New Roman" w:hAnsi="Calibri" w:cs="Arial"/>
                <w:color w:val="222222"/>
                <w:sz w:val="22"/>
                <w:szCs w:val="22"/>
                <w:lang w:eastAsia="pt-BR"/>
              </w:rPr>
              <w:t>2019</w:t>
            </w:r>
          </w:p>
        </w:tc>
      </w:tr>
      <w:tr w:rsidR="00115B35" w:rsidRPr="00C86DB8" w14:paraId="1ABADB96" w14:textId="77777777" w:rsidTr="00C86DB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E80DC2" w14:textId="77777777" w:rsidR="00C86DB8" w:rsidRPr="00C86DB8" w:rsidRDefault="00C86DB8" w:rsidP="00C86DB8">
            <w:pPr>
              <w:spacing w:after="0" w:line="240" w:lineRule="auto"/>
              <w:jc w:val="left"/>
              <w:rPr>
                <w:rFonts w:ascii="Calibri" w:eastAsia="Times New Roman" w:hAnsi="Calibri" w:cs="Arial"/>
                <w:color w:val="222222"/>
                <w:sz w:val="22"/>
                <w:szCs w:val="22"/>
                <w:lang w:eastAsia="pt-BR"/>
              </w:rPr>
            </w:pPr>
            <w:r w:rsidRPr="00C86DB8">
              <w:rPr>
                <w:rFonts w:ascii="Calibri" w:eastAsia="Times New Roman" w:hAnsi="Calibri" w:cs="Arial"/>
                <w:color w:val="222222"/>
                <w:sz w:val="22"/>
                <w:szCs w:val="22"/>
                <w:lang w:eastAsia="pt-BR"/>
              </w:rPr>
              <w:t>Prazo para término da investigação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473CA" w14:textId="54CF71E8" w:rsidR="00C86DB8" w:rsidRPr="00C86DB8" w:rsidRDefault="00115B35" w:rsidP="00C86DB8">
            <w:pPr>
              <w:spacing w:after="0" w:line="240" w:lineRule="auto"/>
              <w:jc w:val="left"/>
              <w:rPr>
                <w:rFonts w:ascii="Calibri" w:eastAsia="Times New Roman" w:hAnsi="Calibri" w:cs="Arial"/>
                <w:color w:val="222222"/>
                <w:sz w:val="22"/>
                <w:szCs w:val="22"/>
                <w:lang w:eastAsia="pt-BR"/>
              </w:rPr>
            </w:pPr>
            <w:r>
              <w:rPr>
                <w:rFonts w:ascii="Calibri" w:eastAsia="Times New Roman" w:hAnsi="Calibri" w:cs="Arial"/>
                <w:color w:val="222222"/>
                <w:sz w:val="22"/>
                <w:szCs w:val="22"/>
                <w:lang w:eastAsia="pt-BR"/>
              </w:rPr>
              <w:t>30</w:t>
            </w:r>
            <w:r w:rsidR="00C86DB8"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04</w:t>
            </w:r>
            <w:r w:rsidR="00C86DB8"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00C86DB8" w:rsidRPr="00C86DB8">
              <w:rPr>
                <w:rFonts w:ascii="Calibri" w:eastAsia="Times New Roman" w:hAnsi="Calibri" w:cs="Arial"/>
                <w:color w:val="222222"/>
                <w:sz w:val="22"/>
                <w:szCs w:val="22"/>
                <w:lang w:eastAsia="pt-BR"/>
              </w:rPr>
              <w:t xml:space="preserve"> (ou </w:t>
            </w:r>
            <w:r>
              <w:rPr>
                <w:rFonts w:ascii="Calibri" w:eastAsia="Times New Roman" w:hAnsi="Calibri" w:cs="Arial"/>
                <w:color w:val="222222"/>
                <w:sz w:val="22"/>
                <w:szCs w:val="22"/>
                <w:lang w:eastAsia="pt-BR"/>
              </w:rPr>
              <w:t>30</w:t>
            </w:r>
            <w:r w:rsidR="00C86DB8" w:rsidRPr="00C86DB8">
              <w:rPr>
                <w:rFonts w:ascii="Calibri" w:eastAsia="Times New Roman" w:hAnsi="Calibri" w:cs="Arial"/>
                <w:color w:val="222222"/>
                <w:sz w:val="22"/>
                <w:szCs w:val="22"/>
                <w:lang w:eastAsia="pt-BR"/>
              </w:rPr>
              <w:t>/</w:t>
            </w:r>
            <w:r>
              <w:rPr>
                <w:rFonts w:ascii="Calibri" w:eastAsia="Times New Roman" w:hAnsi="Calibri" w:cs="Arial"/>
                <w:color w:val="222222"/>
                <w:sz w:val="22"/>
                <w:szCs w:val="22"/>
                <w:lang w:eastAsia="pt-BR"/>
              </w:rPr>
              <w:t>06</w:t>
            </w:r>
            <w:r w:rsidR="00C86DB8" w:rsidRPr="00C86DB8">
              <w:rPr>
                <w:rFonts w:ascii="Calibri" w:eastAsia="Times New Roman" w:hAnsi="Calibri" w:cs="Arial"/>
                <w:color w:val="222222"/>
                <w:sz w:val="22"/>
                <w:szCs w:val="22"/>
                <w:lang w:eastAsia="pt-BR"/>
              </w:rPr>
              <w:t>/20</w:t>
            </w:r>
            <w:r>
              <w:rPr>
                <w:rFonts w:ascii="Calibri" w:eastAsia="Times New Roman" w:hAnsi="Calibri" w:cs="Arial"/>
                <w:color w:val="222222"/>
                <w:sz w:val="22"/>
                <w:szCs w:val="22"/>
                <w:lang w:eastAsia="pt-BR"/>
              </w:rPr>
              <w:t>20</w:t>
            </w:r>
            <w:r w:rsidR="00C86DB8" w:rsidRPr="00C86DB8">
              <w:rPr>
                <w:rFonts w:ascii="Calibri" w:eastAsia="Times New Roman" w:hAnsi="Calibri" w:cs="Arial"/>
                <w:color w:val="222222"/>
                <w:sz w:val="22"/>
                <w:szCs w:val="22"/>
                <w:lang w:eastAsia="pt-BR"/>
              </w:rPr>
              <w:t>, se prorrogado)</w:t>
            </w:r>
          </w:p>
        </w:tc>
      </w:tr>
    </w:tbl>
    <w:p w14:paraId="46348C37" w14:textId="37D9FBAE" w:rsidR="00115B35" w:rsidRDefault="00115B35" w:rsidP="00115B35">
      <w:pPr>
        <w:shd w:val="clear" w:color="auto" w:fill="FFFFFF"/>
        <w:spacing w:after="0" w:line="240" w:lineRule="auto"/>
        <w:rPr>
          <w:sz w:val="22"/>
          <w:szCs w:val="22"/>
        </w:rPr>
      </w:pPr>
    </w:p>
    <w:p w14:paraId="154D8368" w14:textId="77777777" w:rsidR="00115B35" w:rsidRDefault="00115B35" w:rsidP="00115B35">
      <w:pPr>
        <w:shd w:val="clear" w:color="auto" w:fill="FFFFFF"/>
        <w:spacing w:after="0" w:line="240" w:lineRule="auto"/>
        <w:rPr>
          <w:sz w:val="22"/>
          <w:szCs w:val="22"/>
        </w:rPr>
      </w:pPr>
    </w:p>
    <w:p w14:paraId="1DACFF9B" w14:textId="5D9094E1" w:rsidR="00115B35" w:rsidRDefault="00115B35" w:rsidP="00115B35">
      <w:pPr>
        <w:shd w:val="clear" w:color="auto" w:fill="FFFFFF"/>
        <w:spacing w:after="0" w:line="240" w:lineRule="auto"/>
        <w:rPr>
          <w:sz w:val="22"/>
          <w:szCs w:val="22"/>
        </w:rPr>
      </w:pPr>
      <w:r w:rsidRPr="00C209A6">
        <w:rPr>
          <w:sz w:val="22"/>
          <w:szCs w:val="22"/>
        </w:rPr>
        <w:t xml:space="preserve"> </w:t>
      </w:r>
    </w:p>
    <w:p w14:paraId="72C9E540" w14:textId="1C6E7187" w:rsidR="00446CD3" w:rsidRPr="00446CD3" w:rsidRDefault="00446CD3" w:rsidP="00446CD3">
      <w:pPr>
        <w:shd w:val="clear" w:color="auto" w:fill="FFFFFF"/>
        <w:spacing w:after="0" w:line="240" w:lineRule="auto"/>
        <w:rPr>
          <w:rFonts w:ascii="Calibri" w:eastAsia="Times New Roman" w:hAnsi="Calibri" w:cs="Times New Roman"/>
          <w:color w:val="222222"/>
          <w:sz w:val="22"/>
          <w:szCs w:val="22"/>
          <w:lang w:eastAsia="pt-BR"/>
        </w:rPr>
      </w:pPr>
      <w:r w:rsidRPr="00446CD3">
        <w:rPr>
          <w:rFonts w:ascii="Calibri" w:eastAsia="Times New Roman" w:hAnsi="Calibri" w:cs="Times New Roman"/>
          <w:b/>
          <w:bCs/>
          <w:color w:val="222222"/>
          <w:sz w:val="22"/>
          <w:szCs w:val="22"/>
          <w:lang w:eastAsia="pt-BR"/>
        </w:rPr>
        <w:t>OBJETOS DE LOUÇA PARA MESA (NCM 6911.10.10, 6911.10.90, 6911.90.00 e 6912.00.00) - </w:t>
      </w:r>
      <w:r w:rsidRPr="00446CD3">
        <w:rPr>
          <w:rFonts w:ascii="Calibri" w:eastAsia="Times New Roman" w:hAnsi="Calibri" w:cs="Times New Roman"/>
          <w:color w:val="222222"/>
          <w:sz w:val="22"/>
          <w:szCs w:val="22"/>
          <w:lang w:eastAsia="pt-BR"/>
        </w:rPr>
        <w:t>A SECEX </w:t>
      </w:r>
      <w:r w:rsidR="005F79A1" w:rsidRPr="005F79A1">
        <w:rPr>
          <w:rFonts w:ascii="Calibri" w:eastAsia="Times New Roman" w:hAnsi="Calibri" w:cs="Times New Roman"/>
          <w:color w:val="222222"/>
          <w:sz w:val="22"/>
          <w:szCs w:val="22"/>
          <w:lang w:eastAsia="pt-BR"/>
        </w:rPr>
        <w:t>tornou</w:t>
      </w:r>
      <w:r w:rsidR="005F79A1" w:rsidRPr="005F79A1">
        <w:rPr>
          <w:sz w:val="22"/>
          <w:szCs w:val="22"/>
        </w:rPr>
        <w:t xml:space="preserve"> público</w:t>
      </w:r>
      <w:r w:rsidR="005F79A1" w:rsidRPr="005F79A1">
        <w:rPr>
          <w:sz w:val="22"/>
          <w:szCs w:val="22"/>
        </w:rPr>
        <w:t xml:space="preserve"> relacionados com o restante da</w:t>
      </w:r>
      <w:r w:rsidRPr="00446CD3">
        <w:rPr>
          <w:rFonts w:ascii="Calibri" w:eastAsia="Times New Roman" w:hAnsi="Calibri" w:cs="Times New Roman"/>
          <w:color w:val="222222"/>
          <w:sz w:val="22"/>
          <w:szCs w:val="22"/>
          <w:lang w:eastAsia="pt-BR"/>
        </w:rPr>
        <w:t xml:space="preserve"> revisão do direito antidumping instituído pela Resolução CAMEX nº 3, de 2014, aplicado às importações de objetos de louça para mesa, NCM 6911.10.10, 6911.10.90, 6911.90.00 e 6912.00.00, originárias da China</w:t>
      </w:r>
      <w:r w:rsidR="005F79A1" w:rsidRPr="005F79A1">
        <w:rPr>
          <w:rFonts w:ascii="Calibri" w:eastAsia="Times New Roman" w:hAnsi="Calibri" w:cs="Times New Roman"/>
          <w:color w:val="222222"/>
          <w:sz w:val="22"/>
          <w:szCs w:val="22"/>
          <w:lang w:eastAsia="pt-BR"/>
        </w:rPr>
        <w:t>, conforme tabela que se segue</w:t>
      </w:r>
      <w:r w:rsidRPr="00446CD3">
        <w:rPr>
          <w:rFonts w:ascii="Calibri" w:eastAsia="Times New Roman" w:hAnsi="Calibri" w:cs="Times New Roman"/>
          <w:color w:val="222222"/>
          <w:sz w:val="22"/>
          <w:szCs w:val="22"/>
          <w:lang w:eastAsia="pt-BR"/>
        </w:rPr>
        <w:t>. </w:t>
      </w:r>
      <w:r w:rsidR="003A2CA3">
        <w:rPr>
          <w:rFonts w:ascii="Calibri" w:eastAsia="Times New Roman" w:hAnsi="Calibri" w:cs="Times New Roman"/>
          <w:color w:val="222222"/>
          <w:sz w:val="22"/>
          <w:szCs w:val="22"/>
          <w:lang w:eastAsia="pt-BR"/>
        </w:rPr>
        <w:t xml:space="preserve"> </w:t>
      </w:r>
      <w:bookmarkStart w:id="1" w:name="_GoBack"/>
      <w:bookmarkEnd w:id="1"/>
      <w:r w:rsidRPr="00446CD3">
        <w:rPr>
          <w:rFonts w:ascii="Calibri" w:eastAsia="Times New Roman" w:hAnsi="Calibri" w:cs="Times New Roman"/>
          <w:color w:val="222222"/>
          <w:sz w:val="22"/>
          <w:szCs w:val="22"/>
          <w:lang w:eastAsia="pt-BR"/>
        </w:rPr>
        <w:t>A mercadoria segue sujeita a licenciamento não automático, com controle do DECEX, desde 17/2/2012. (Circular Secex nº </w:t>
      </w:r>
      <w:r w:rsidR="005F79A1" w:rsidRPr="005F79A1">
        <w:rPr>
          <w:rFonts w:ascii="Calibri" w:eastAsia="Times New Roman" w:hAnsi="Calibri" w:cs="Times New Roman"/>
          <w:color w:val="222222"/>
          <w:sz w:val="22"/>
          <w:szCs w:val="22"/>
          <w:lang w:eastAsia="pt-BR"/>
        </w:rPr>
        <w:t>41</w:t>
      </w:r>
      <w:r w:rsidRPr="00446CD3">
        <w:rPr>
          <w:rFonts w:ascii="Calibri" w:eastAsia="Times New Roman" w:hAnsi="Calibri" w:cs="Times New Roman"/>
          <w:color w:val="222222"/>
          <w:sz w:val="22"/>
          <w:szCs w:val="22"/>
          <w:lang w:eastAsia="pt-BR"/>
        </w:rPr>
        <w:t>, de </w:t>
      </w:r>
      <w:r w:rsidR="005F79A1" w:rsidRPr="005F79A1">
        <w:rPr>
          <w:rFonts w:ascii="Calibri" w:eastAsia="Times New Roman" w:hAnsi="Calibri" w:cs="Times New Roman"/>
          <w:color w:val="222222"/>
          <w:sz w:val="22"/>
          <w:szCs w:val="22"/>
          <w:lang w:eastAsia="pt-BR"/>
        </w:rPr>
        <w:t>02</w:t>
      </w:r>
      <w:r w:rsidRPr="00446CD3">
        <w:rPr>
          <w:rFonts w:ascii="Calibri" w:eastAsia="Times New Roman" w:hAnsi="Calibri" w:cs="Times New Roman"/>
          <w:color w:val="222222"/>
          <w:sz w:val="22"/>
          <w:szCs w:val="22"/>
          <w:lang w:eastAsia="pt-BR"/>
        </w:rPr>
        <w:t>/0</w:t>
      </w:r>
      <w:r w:rsidR="005F79A1" w:rsidRPr="005F79A1">
        <w:rPr>
          <w:rFonts w:ascii="Calibri" w:eastAsia="Times New Roman" w:hAnsi="Calibri" w:cs="Times New Roman"/>
          <w:color w:val="222222"/>
          <w:sz w:val="22"/>
          <w:szCs w:val="22"/>
          <w:lang w:eastAsia="pt-BR"/>
        </w:rPr>
        <w:t>7</w:t>
      </w:r>
      <w:r w:rsidRPr="00446CD3">
        <w:rPr>
          <w:rFonts w:ascii="Calibri" w:eastAsia="Times New Roman" w:hAnsi="Calibri" w:cs="Times New Roman"/>
          <w:color w:val="222222"/>
          <w:sz w:val="22"/>
          <w:szCs w:val="22"/>
          <w:lang w:eastAsia="pt-BR"/>
        </w:rPr>
        <w:t>/2019, DOU </w:t>
      </w:r>
      <w:r w:rsidR="005F79A1" w:rsidRPr="005F79A1">
        <w:rPr>
          <w:rFonts w:ascii="Calibri" w:eastAsia="Times New Roman" w:hAnsi="Calibri" w:cs="Times New Roman"/>
          <w:color w:val="222222"/>
          <w:sz w:val="22"/>
          <w:szCs w:val="22"/>
          <w:lang w:eastAsia="pt-BR"/>
        </w:rPr>
        <w:t>03</w:t>
      </w:r>
      <w:r w:rsidRPr="00446CD3">
        <w:rPr>
          <w:rFonts w:ascii="Calibri" w:eastAsia="Times New Roman" w:hAnsi="Calibri" w:cs="Times New Roman"/>
          <w:color w:val="222222"/>
          <w:sz w:val="22"/>
          <w:szCs w:val="22"/>
          <w:lang w:eastAsia="pt-BR"/>
        </w:rPr>
        <w:t>/0</w:t>
      </w:r>
      <w:r w:rsidR="005F79A1" w:rsidRPr="005F79A1">
        <w:rPr>
          <w:rFonts w:ascii="Calibri" w:eastAsia="Times New Roman" w:hAnsi="Calibri" w:cs="Times New Roman"/>
          <w:color w:val="222222"/>
          <w:sz w:val="22"/>
          <w:szCs w:val="22"/>
          <w:lang w:eastAsia="pt-BR"/>
        </w:rPr>
        <w:t>7</w:t>
      </w:r>
      <w:r w:rsidRPr="00446CD3">
        <w:rPr>
          <w:rFonts w:ascii="Calibri" w:eastAsia="Times New Roman" w:hAnsi="Calibri" w:cs="Times New Roman"/>
          <w:color w:val="222222"/>
          <w:sz w:val="22"/>
          <w:szCs w:val="22"/>
          <w:lang w:eastAsia="pt-BR"/>
        </w:rPr>
        <w:t>/2019):</w:t>
      </w:r>
    </w:p>
    <w:p w14:paraId="466CCD79" w14:textId="77777777" w:rsidR="00446CD3" w:rsidRPr="00446CD3" w:rsidRDefault="00446CD3" w:rsidP="00446CD3">
      <w:pPr>
        <w:shd w:val="clear" w:color="auto" w:fill="FFFFFF"/>
        <w:spacing w:after="0" w:line="240" w:lineRule="auto"/>
        <w:jc w:val="left"/>
        <w:rPr>
          <w:rFonts w:ascii="Calibri" w:eastAsia="Times New Roman" w:hAnsi="Calibri" w:cs="Times New Roman"/>
          <w:color w:val="222222"/>
          <w:sz w:val="22"/>
          <w:szCs w:val="22"/>
          <w:lang w:eastAsia="pt-BR"/>
        </w:rPr>
      </w:pPr>
      <w:r w:rsidRPr="00446CD3">
        <w:rPr>
          <w:rFonts w:ascii="Arial" w:eastAsia="Times New Roman" w:hAnsi="Arial" w:cs="Arial"/>
          <w:color w:val="222222"/>
          <w:sz w:val="22"/>
          <w:szCs w:val="22"/>
          <w:lang w:eastAsia="pt-BR"/>
        </w:rPr>
        <w:t> </w:t>
      </w:r>
    </w:p>
    <w:tbl>
      <w:tblPr>
        <w:tblW w:w="85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4"/>
        <w:gridCol w:w="5618"/>
        <w:gridCol w:w="1152"/>
      </w:tblGrid>
      <w:tr w:rsidR="005F79A1" w:rsidRPr="005F79A1" w14:paraId="2F9B23AA" w14:textId="77777777" w:rsidTr="00D071D4">
        <w:tc>
          <w:tcPr>
            <w:tcW w:w="0" w:type="auto"/>
            <w:tcMar>
              <w:top w:w="45" w:type="dxa"/>
              <w:left w:w="45" w:type="dxa"/>
              <w:bottom w:w="45" w:type="dxa"/>
              <w:right w:w="45" w:type="dxa"/>
            </w:tcMar>
            <w:vAlign w:val="center"/>
            <w:hideMark/>
          </w:tcPr>
          <w:p w14:paraId="74B23BA1" w14:textId="77777777"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lastRenderedPageBreak/>
              <w:t>Disposição legal</w:t>
            </w:r>
          </w:p>
          <w:p w14:paraId="74A68905" w14:textId="77777777"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Decreto n </w:t>
            </w:r>
            <w:r w:rsidRPr="005F79A1">
              <w:rPr>
                <w:rFonts w:asciiTheme="minorHAnsi" w:hAnsiTheme="minorHAnsi"/>
                <w:sz w:val="22"/>
                <w:szCs w:val="22"/>
                <w:u w:val="single"/>
              </w:rPr>
              <w:t>o</w:t>
            </w:r>
            <w:r w:rsidRPr="005F79A1">
              <w:rPr>
                <w:rFonts w:asciiTheme="minorHAnsi" w:hAnsiTheme="minorHAnsi"/>
                <w:sz w:val="22"/>
                <w:szCs w:val="22"/>
              </w:rPr>
              <w:t> 8.058/2013</w:t>
            </w:r>
          </w:p>
        </w:tc>
        <w:tc>
          <w:tcPr>
            <w:tcW w:w="0" w:type="auto"/>
            <w:tcMar>
              <w:top w:w="45" w:type="dxa"/>
              <w:left w:w="45" w:type="dxa"/>
              <w:bottom w:w="45" w:type="dxa"/>
              <w:right w:w="45" w:type="dxa"/>
            </w:tcMar>
            <w:vAlign w:val="center"/>
            <w:hideMark/>
          </w:tcPr>
          <w:p w14:paraId="33E376A2" w14:textId="77777777" w:rsidR="005F79A1" w:rsidRPr="005F79A1" w:rsidRDefault="005F79A1" w:rsidP="00D071D4">
            <w:pPr>
              <w:pStyle w:val="dou-paragraph"/>
              <w:spacing w:before="0" w:beforeAutospacing="0" w:after="0" w:afterAutospacing="0"/>
              <w:jc w:val="center"/>
              <w:rPr>
                <w:rFonts w:asciiTheme="minorHAnsi" w:hAnsiTheme="minorHAnsi"/>
                <w:sz w:val="22"/>
                <w:szCs w:val="22"/>
              </w:rPr>
            </w:pPr>
            <w:r w:rsidRPr="005F79A1">
              <w:rPr>
                <w:rFonts w:asciiTheme="minorHAnsi" w:hAnsiTheme="minorHAnsi"/>
                <w:sz w:val="22"/>
                <w:szCs w:val="22"/>
              </w:rPr>
              <w:t>Atividades</w:t>
            </w:r>
          </w:p>
        </w:tc>
        <w:tc>
          <w:tcPr>
            <w:tcW w:w="0" w:type="auto"/>
            <w:tcMar>
              <w:top w:w="45" w:type="dxa"/>
              <w:left w:w="45" w:type="dxa"/>
              <w:bottom w:w="45" w:type="dxa"/>
              <w:right w:w="45" w:type="dxa"/>
            </w:tcMar>
            <w:vAlign w:val="center"/>
            <w:hideMark/>
          </w:tcPr>
          <w:p w14:paraId="384AFB65" w14:textId="77777777"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Prazos</w:t>
            </w:r>
          </w:p>
        </w:tc>
      </w:tr>
      <w:tr w:rsidR="005F79A1" w:rsidRPr="005F79A1" w14:paraId="298E3AFC" w14:textId="77777777" w:rsidTr="005F79A1">
        <w:tc>
          <w:tcPr>
            <w:tcW w:w="0" w:type="auto"/>
            <w:tcMar>
              <w:top w:w="45" w:type="dxa"/>
              <w:left w:w="45" w:type="dxa"/>
              <w:bottom w:w="45" w:type="dxa"/>
              <w:right w:w="45" w:type="dxa"/>
            </w:tcMar>
            <w:vAlign w:val="center"/>
            <w:hideMark/>
          </w:tcPr>
          <w:p w14:paraId="6DB3FFA8" w14:textId="1C41A013"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55</w:t>
            </w:r>
          </w:p>
        </w:tc>
        <w:tc>
          <w:tcPr>
            <w:tcW w:w="0" w:type="auto"/>
            <w:tcMar>
              <w:top w:w="45" w:type="dxa"/>
              <w:left w:w="45" w:type="dxa"/>
              <w:bottom w:w="45" w:type="dxa"/>
              <w:right w:w="45" w:type="dxa"/>
            </w:tcMar>
            <w:vAlign w:val="center"/>
            <w:hideMark/>
          </w:tcPr>
          <w:p w14:paraId="2D63B423" w14:textId="7420B932" w:rsidR="005F79A1" w:rsidRPr="005F79A1" w:rsidRDefault="005F79A1" w:rsidP="00D071D4">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Audiência com partes interessadas</w:t>
            </w:r>
          </w:p>
        </w:tc>
        <w:tc>
          <w:tcPr>
            <w:tcW w:w="0" w:type="auto"/>
            <w:tcMar>
              <w:top w:w="45" w:type="dxa"/>
              <w:left w:w="45" w:type="dxa"/>
              <w:bottom w:w="45" w:type="dxa"/>
              <w:right w:w="45" w:type="dxa"/>
            </w:tcMar>
            <w:vAlign w:val="center"/>
          </w:tcPr>
          <w:p w14:paraId="65026FF7" w14:textId="2E934D43"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23/07/2019</w:t>
            </w:r>
          </w:p>
        </w:tc>
      </w:tr>
      <w:tr w:rsidR="005F79A1" w:rsidRPr="005F79A1" w14:paraId="6789A42E" w14:textId="77777777" w:rsidTr="005F79A1">
        <w:tc>
          <w:tcPr>
            <w:tcW w:w="0" w:type="auto"/>
            <w:tcMar>
              <w:top w:w="45" w:type="dxa"/>
              <w:left w:w="45" w:type="dxa"/>
              <w:bottom w:w="45" w:type="dxa"/>
              <w:right w:w="45" w:type="dxa"/>
            </w:tcMar>
            <w:vAlign w:val="center"/>
            <w:hideMark/>
          </w:tcPr>
          <w:p w14:paraId="5079B0BC" w14:textId="77777777"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59</w:t>
            </w:r>
          </w:p>
        </w:tc>
        <w:tc>
          <w:tcPr>
            <w:tcW w:w="0" w:type="auto"/>
            <w:tcMar>
              <w:top w:w="45" w:type="dxa"/>
              <w:left w:w="45" w:type="dxa"/>
              <w:bottom w:w="45" w:type="dxa"/>
              <w:right w:w="45" w:type="dxa"/>
            </w:tcMar>
            <w:vAlign w:val="center"/>
            <w:hideMark/>
          </w:tcPr>
          <w:p w14:paraId="677DF84F" w14:textId="77777777" w:rsidR="005F79A1" w:rsidRPr="005F79A1" w:rsidRDefault="005F79A1" w:rsidP="00D071D4">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Encerramento da fase probatória da revisão.</w:t>
            </w:r>
          </w:p>
        </w:tc>
        <w:tc>
          <w:tcPr>
            <w:tcW w:w="0" w:type="auto"/>
            <w:tcMar>
              <w:top w:w="45" w:type="dxa"/>
              <w:left w:w="45" w:type="dxa"/>
              <w:bottom w:w="45" w:type="dxa"/>
              <w:right w:w="45" w:type="dxa"/>
            </w:tcMar>
            <w:vAlign w:val="center"/>
          </w:tcPr>
          <w:p w14:paraId="66ABCAA2" w14:textId="63016737"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12/08/2019</w:t>
            </w:r>
          </w:p>
        </w:tc>
      </w:tr>
      <w:tr w:rsidR="005F79A1" w:rsidRPr="005F79A1" w14:paraId="54A54624" w14:textId="77777777" w:rsidTr="005F79A1">
        <w:tc>
          <w:tcPr>
            <w:tcW w:w="0" w:type="auto"/>
            <w:tcMar>
              <w:top w:w="45" w:type="dxa"/>
              <w:left w:w="45" w:type="dxa"/>
              <w:bottom w:w="45" w:type="dxa"/>
              <w:right w:w="45" w:type="dxa"/>
            </w:tcMar>
            <w:vAlign w:val="center"/>
            <w:hideMark/>
          </w:tcPr>
          <w:p w14:paraId="266C782A" w14:textId="77777777"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60</w:t>
            </w:r>
          </w:p>
        </w:tc>
        <w:tc>
          <w:tcPr>
            <w:tcW w:w="0" w:type="auto"/>
            <w:tcMar>
              <w:top w:w="45" w:type="dxa"/>
              <w:left w:w="45" w:type="dxa"/>
              <w:bottom w:w="45" w:type="dxa"/>
              <w:right w:w="45" w:type="dxa"/>
            </w:tcMar>
            <w:vAlign w:val="center"/>
            <w:hideMark/>
          </w:tcPr>
          <w:p w14:paraId="2A4ABBF9" w14:textId="77777777" w:rsidR="005F79A1" w:rsidRPr="005F79A1" w:rsidRDefault="005F79A1" w:rsidP="00D071D4">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Encerramento da fase de manifestação sobre os dados e as informações constantes dos autos.</w:t>
            </w:r>
          </w:p>
        </w:tc>
        <w:tc>
          <w:tcPr>
            <w:tcW w:w="0" w:type="auto"/>
            <w:tcMar>
              <w:top w:w="45" w:type="dxa"/>
              <w:left w:w="45" w:type="dxa"/>
              <w:bottom w:w="45" w:type="dxa"/>
              <w:right w:w="45" w:type="dxa"/>
            </w:tcMar>
            <w:vAlign w:val="center"/>
          </w:tcPr>
          <w:p w14:paraId="101A1BB2" w14:textId="03D98FFA"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02/09/2019</w:t>
            </w:r>
          </w:p>
        </w:tc>
      </w:tr>
      <w:tr w:rsidR="005F79A1" w:rsidRPr="005F79A1" w14:paraId="7A898D5E" w14:textId="77777777" w:rsidTr="005F79A1">
        <w:tc>
          <w:tcPr>
            <w:tcW w:w="0" w:type="auto"/>
            <w:tcMar>
              <w:top w:w="45" w:type="dxa"/>
              <w:left w:w="45" w:type="dxa"/>
              <w:bottom w:w="45" w:type="dxa"/>
              <w:right w:w="45" w:type="dxa"/>
            </w:tcMar>
            <w:vAlign w:val="center"/>
            <w:hideMark/>
          </w:tcPr>
          <w:p w14:paraId="6380C20C" w14:textId="77777777"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61</w:t>
            </w:r>
          </w:p>
        </w:tc>
        <w:tc>
          <w:tcPr>
            <w:tcW w:w="0" w:type="auto"/>
            <w:tcMar>
              <w:top w:w="45" w:type="dxa"/>
              <w:left w:w="45" w:type="dxa"/>
              <w:bottom w:w="45" w:type="dxa"/>
              <w:right w:w="45" w:type="dxa"/>
            </w:tcMar>
            <w:vAlign w:val="center"/>
            <w:hideMark/>
          </w:tcPr>
          <w:p w14:paraId="5DA12092" w14:textId="77777777" w:rsidR="005F79A1" w:rsidRPr="005F79A1" w:rsidRDefault="005F79A1" w:rsidP="00D071D4">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Divulgação da nota técnica contendo os fatos essenciais que se encontram em análise e que serão considerados na determinação final.</w:t>
            </w:r>
          </w:p>
        </w:tc>
        <w:tc>
          <w:tcPr>
            <w:tcW w:w="0" w:type="auto"/>
            <w:tcMar>
              <w:top w:w="45" w:type="dxa"/>
              <w:left w:w="45" w:type="dxa"/>
              <w:bottom w:w="45" w:type="dxa"/>
              <w:right w:w="45" w:type="dxa"/>
            </w:tcMar>
            <w:vAlign w:val="center"/>
          </w:tcPr>
          <w:p w14:paraId="096B758E" w14:textId="4D5BF0C5"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24/09/2019</w:t>
            </w:r>
          </w:p>
        </w:tc>
      </w:tr>
      <w:tr w:rsidR="005F79A1" w:rsidRPr="005F79A1" w14:paraId="6EE5C7E3" w14:textId="77777777" w:rsidTr="005F79A1">
        <w:tc>
          <w:tcPr>
            <w:tcW w:w="0" w:type="auto"/>
            <w:tcMar>
              <w:top w:w="45" w:type="dxa"/>
              <w:left w:w="45" w:type="dxa"/>
              <w:bottom w:w="45" w:type="dxa"/>
              <w:right w:w="45" w:type="dxa"/>
            </w:tcMar>
            <w:vAlign w:val="center"/>
            <w:hideMark/>
          </w:tcPr>
          <w:p w14:paraId="0A01459D" w14:textId="77777777"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62</w:t>
            </w:r>
          </w:p>
        </w:tc>
        <w:tc>
          <w:tcPr>
            <w:tcW w:w="0" w:type="auto"/>
            <w:tcMar>
              <w:top w:w="45" w:type="dxa"/>
              <w:left w:w="45" w:type="dxa"/>
              <w:bottom w:w="45" w:type="dxa"/>
              <w:right w:w="45" w:type="dxa"/>
            </w:tcMar>
            <w:vAlign w:val="center"/>
            <w:hideMark/>
          </w:tcPr>
          <w:p w14:paraId="6DD85241" w14:textId="77777777" w:rsidR="005F79A1" w:rsidRPr="005F79A1" w:rsidRDefault="005F79A1" w:rsidP="00D071D4">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Encerramento do prazo para apresentação das manifestações finais pelas partes interessadas e Encerramento da fase de instrução do processo.</w:t>
            </w:r>
          </w:p>
        </w:tc>
        <w:tc>
          <w:tcPr>
            <w:tcW w:w="0" w:type="auto"/>
            <w:tcMar>
              <w:top w:w="45" w:type="dxa"/>
              <w:left w:w="45" w:type="dxa"/>
              <w:bottom w:w="45" w:type="dxa"/>
              <w:right w:w="45" w:type="dxa"/>
            </w:tcMar>
            <w:vAlign w:val="center"/>
          </w:tcPr>
          <w:p w14:paraId="1ED866A0" w14:textId="479314BF"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14/10/2019</w:t>
            </w:r>
          </w:p>
        </w:tc>
      </w:tr>
      <w:tr w:rsidR="005F79A1" w:rsidRPr="005F79A1" w14:paraId="6434481B" w14:textId="77777777" w:rsidTr="00D071D4">
        <w:tc>
          <w:tcPr>
            <w:tcW w:w="0" w:type="auto"/>
            <w:tcMar>
              <w:top w:w="45" w:type="dxa"/>
              <w:left w:w="45" w:type="dxa"/>
              <w:bottom w:w="45" w:type="dxa"/>
              <w:right w:w="45" w:type="dxa"/>
            </w:tcMar>
            <w:vAlign w:val="center"/>
            <w:hideMark/>
          </w:tcPr>
          <w:p w14:paraId="00323F69" w14:textId="77777777"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Art. 63</w:t>
            </w:r>
          </w:p>
        </w:tc>
        <w:tc>
          <w:tcPr>
            <w:tcW w:w="0" w:type="auto"/>
            <w:tcMar>
              <w:top w:w="45" w:type="dxa"/>
              <w:left w:w="45" w:type="dxa"/>
              <w:bottom w:w="45" w:type="dxa"/>
              <w:right w:w="45" w:type="dxa"/>
            </w:tcMar>
            <w:vAlign w:val="center"/>
            <w:hideMark/>
          </w:tcPr>
          <w:p w14:paraId="22B76102" w14:textId="77777777" w:rsidR="005F79A1" w:rsidRPr="005F79A1" w:rsidRDefault="005F79A1" w:rsidP="00D071D4">
            <w:pPr>
              <w:pStyle w:val="dou-paragraph"/>
              <w:spacing w:before="0" w:beforeAutospacing="0" w:after="0" w:afterAutospacing="0"/>
              <w:jc w:val="both"/>
              <w:rPr>
                <w:rFonts w:asciiTheme="minorHAnsi" w:hAnsiTheme="minorHAnsi"/>
                <w:sz w:val="22"/>
                <w:szCs w:val="22"/>
              </w:rPr>
            </w:pPr>
            <w:r w:rsidRPr="005F79A1">
              <w:rPr>
                <w:rFonts w:asciiTheme="minorHAnsi" w:hAnsiTheme="minorHAnsi"/>
                <w:sz w:val="22"/>
                <w:szCs w:val="22"/>
              </w:rPr>
              <w:t>Expedição, pela SDCOM, do parecer de determinação final.</w:t>
            </w:r>
          </w:p>
        </w:tc>
        <w:tc>
          <w:tcPr>
            <w:tcW w:w="0" w:type="auto"/>
            <w:tcMar>
              <w:top w:w="45" w:type="dxa"/>
              <w:left w:w="45" w:type="dxa"/>
              <w:bottom w:w="45" w:type="dxa"/>
              <w:right w:w="45" w:type="dxa"/>
            </w:tcMar>
            <w:vAlign w:val="center"/>
            <w:hideMark/>
          </w:tcPr>
          <w:p w14:paraId="7011569A" w14:textId="312E4889" w:rsidR="005F79A1" w:rsidRPr="005F79A1" w:rsidRDefault="005F79A1" w:rsidP="00D071D4">
            <w:pPr>
              <w:pStyle w:val="dou-paragraph"/>
              <w:spacing w:before="0" w:beforeAutospacing="0" w:after="0" w:afterAutospacing="0"/>
              <w:rPr>
                <w:rFonts w:asciiTheme="minorHAnsi" w:hAnsiTheme="minorHAnsi"/>
                <w:sz w:val="22"/>
                <w:szCs w:val="22"/>
              </w:rPr>
            </w:pPr>
            <w:r w:rsidRPr="005F79A1">
              <w:rPr>
                <w:rFonts w:asciiTheme="minorHAnsi" w:hAnsiTheme="minorHAnsi"/>
                <w:sz w:val="22"/>
                <w:szCs w:val="22"/>
              </w:rPr>
              <w:t>0</w:t>
            </w:r>
            <w:r w:rsidRPr="005F79A1">
              <w:rPr>
                <w:rFonts w:asciiTheme="minorHAnsi" w:hAnsiTheme="minorHAnsi"/>
                <w:sz w:val="22"/>
                <w:szCs w:val="22"/>
              </w:rPr>
              <w:t>1</w:t>
            </w:r>
            <w:r w:rsidRPr="005F79A1">
              <w:rPr>
                <w:rFonts w:asciiTheme="minorHAnsi" w:hAnsiTheme="minorHAnsi"/>
                <w:sz w:val="22"/>
                <w:szCs w:val="22"/>
              </w:rPr>
              <w:t>/1</w:t>
            </w:r>
            <w:r w:rsidRPr="005F79A1">
              <w:rPr>
                <w:rFonts w:asciiTheme="minorHAnsi" w:hAnsiTheme="minorHAnsi"/>
                <w:sz w:val="22"/>
                <w:szCs w:val="22"/>
              </w:rPr>
              <w:t>1</w:t>
            </w:r>
            <w:r w:rsidRPr="005F79A1">
              <w:rPr>
                <w:rFonts w:asciiTheme="minorHAnsi" w:hAnsiTheme="minorHAnsi"/>
                <w:sz w:val="22"/>
                <w:szCs w:val="22"/>
              </w:rPr>
              <w:t>/2019</w:t>
            </w:r>
          </w:p>
        </w:tc>
      </w:tr>
    </w:tbl>
    <w:p w14:paraId="1E196504" w14:textId="77777777" w:rsidR="00446CD3" w:rsidRPr="00C86DB8" w:rsidRDefault="00446CD3" w:rsidP="00C86DB8">
      <w:pPr>
        <w:shd w:val="clear" w:color="auto" w:fill="FFFFFF"/>
        <w:spacing w:before="300" w:after="300" w:line="240" w:lineRule="auto"/>
        <w:ind w:firstLine="570"/>
        <w:jc w:val="left"/>
        <w:rPr>
          <w:rFonts w:ascii="Times New Roman" w:eastAsia="Times New Roman" w:hAnsi="Times New Roman" w:cs="Times New Roman"/>
          <w:color w:val="222222"/>
          <w:sz w:val="24"/>
          <w:szCs w:val="24"/>
          <w:lang w:eastAsia="pt-BR"/>
        </w:rPr>
      </w:pPr>
    </w:p>
    <w:p w14:paraId="72B55E95" w14:textId="77777777" w:rsidR="00C86DB8" w:rsidRDefault="00C86DB8" w:rsidP="00064952">
      <w:pPr>
        <w:shd w:val="clear" w:color="auto" w:fill="FFFFFF"/>
        <w:spacing w:after="0" w:line="240" w:lineRule="auto"/>
      </w:pPr>
    </w:p>
    <w:p w14:paraId="783034CC" w14:textId="77777777" w:rsidR="005A00FF" w:rsidRDefault="005A00FF" w:rsidP="005A00FF">
      <w:pPr>
        <w:shd w:val="clear" w:color="auto" w:fill="FFFFFF"/>
        <w:spacing w:after="0" w:line="240" w:lineRule="auto"/>
        <w:rPr>
          <w:b/>
          <w:sz w:val="48"/>
          <w:szCs w:val="48"/>
        </w:rPr>
      </w:pPr>
    </w:p>
    <w:p w14:paraId="6C6676D5" w14:textId="4A360E93" w:rsidR="00624BD0" w:rsidRDefault="004F777B" w:rsidP="00064952">
      <w:pPr>
        <w:shd w:val="clear" w:color="auto" w:fill="FFFFFF"/>
        <w:spacing w:after="0" w:line="240" w:lineRule="auto"/>
        <w:jc w:val="center"/>
        <w:rPr>
          <w:b/>
          <w:sz w:val="48"/>
          <w:szCs w:val="48"/>
        </w:rPr>
      </w:pPr>
      <w:r w:rsidRPr="00654A76">
        <w:rPr>
          <w:b/>
          <w:sz w:val="48"/>
          <w:szCs w:val="48"/>
        </w:rPr>
        <w:t>ANEXO</w:t>
      </w:r>
    </w:p>
    <w:p w14:paraId="16D9E6E9" w14:textId="407C3363" w:rsidR="00341F22" w:rsidRDefault="00341F22" w:rsidP="00064952">
      <w:pPr>
        <w:shd w:val="clear" w:color="auto" w:fill="FFFFFF"/>
        <w:spacing w:after="0" w:line="240" w:lineRule="auto"/>
        <w:jc w:val="center"/>
        <w:rPr>
          <w:b/>
          <w:sz w:val="48"/>
          <w:szCs w:val="48"/>
        </w:rPr>
      </w:pPr>
    </w:p>
    <w:p w14:paraId="25860AAA" w14:textId="5B7AD841" w:rsidR="00C209A6" w:rsidRPr="00C209A6" w:rsidRDefault="00341F22" w:rsidP="00C209A6">
      <w:pPr>
        <w:shd w:val="clear" w:color="auto" w:fill="FFFFFF"/>
        <w:spacing w:after="0" w:line="240" w:lineRule="auto"/>
        <w:jc w:val="center"/>
        <w:rPr>
          <w:b/>
          <w:bCs/>
          <w:sz w:val="22"/>
          <w:szCs w:val="22"/>
        </w:rPr>
      </w:pPr>
      <w:r w:rsidRPr="00C209A6">
        <w:rPr>
          <w:b/>
          <w:bCs/>
          <w:sz w:val="22"/>
          <w:szCs w:val="22"/>
        </w:rPr>
        <w:t xml:space="preserve">PORTARIA </w:t>
      </w:r>
      <w:r w:rsidR="00C209A6" w:rsidRPr="00C209A6">
        <w:rPr>
          <w:b/>
          <w:bCs/>
          <w:sz w:val="22"/>
          <w:szCs w:val="22"/>
        </w:rPr>
        <w:t xml:space="preserve">SECEX </w:t>
      </w:r>
      <w:r w:rsidRPr="00C209A6">
        <w:rPr>
          <w:b/>
          <w:bCs/>
          <w:sz w:val="22"/>
          <w:szCs w:val="22"/>
        </w:rPr>
        <w:t>No 18, DE 27 DE JUNHO DE 2019 (DOU 28/6/2019)</w:t>
      </w:r>
    </w:p>
    <w:p w14:paraId="05F9CEB0" w14:textId="77777777" w:rsidR="00C209A6" w:rsidRDefault="00C209A6" w:rsidP="00C209A6">
      <w:pPr>
        <w:shd w:val="clear" w:color="auto" w:fill="FFFFFF"/>
        <w:spacing w:after="0" w:line="240" w:lineRule="auto"/>
        <w:rPr>
          <w:sz w:val="22"/>
          <w:szCs w:val="22"/>
        </w:rPr>
      </w:pPr>
    </w:p>
    <w:p w14:paraId="7AC25A23" w14:textId="77777777" w:rsidR="00C209A6" w:rsidRDefault="00341F22" w:rsidP="00C209A6">
      <w:pPr>
        <w:shd w:val="clear" w:color="auto" w:fill="FFFFFF"/>
        <w:spacing w:after="0" w:line="240" w:lineRule="auto"/>
        <w:rPr>
          <w:sz w:val="22"/>
          <w:szCs w:val="22"/>
        </w:rPr>
      </w:pPr>
      <w:r w:rsidRPr="00C209A6">
        <w:rPr>
          <w:sz w:val="22"/>
          <w:szCs w:val="22"/>
        </w:rPr>
        <w:t xml:space="preserve">O SECRETÁRIO DE COMÉRCIO EXTERIOR, SUBSTITUTO, DA SECRETARIA ESPECIAL DE COMÉRCIO EXTERIOR E ASSUNTOS INTERNACIONAIS, DO MINISTÉRIO DA ECONOMIA,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14:paraId="27F5DCD0" w14:textId="77777777" w:rsidR="00C209A6" w:rsidRDefault="00C209A6" w:rsidP="00C209A6">
      <w:pPr>
        <w:shd w:val="clear" w:color="auto" w:fill="FFFFFF"/>
        <w:spacing w:after="0" w:line="240" w:lineRule="auto"/>
        <w:rPr>
          <w:sz w:val="22"/>
          <w:szCs w:val="22"/>
        </w:rPr>
      </w:pPr>
    </w:p>
    <w:p w14:paraId="09427A1F" w14:textId="77777777" w:rsidR="00C209A6" w:rsidRDefault="00341F22" w:rsidP="00C209A6">
      <w:pPr>
        <w:shd w:val="clear" w:color="auto" w:fill="FFFFFF"/>
        <w:spacing w:after="0" w:line="240" w:lineRule="auto"/>
        <w:rPr>
          <w:sz w:val="22"/>
          <w:szCs w:val="22"/>
        </w:rPr>
      </w:pPr>
      <w:r w:rsidRPr="00C209A6">
        <w:rPr>
          <w:sz w:val="22"/>
          <w:szCs w:val="22"/>
        </w:rPr>
        <w:t xml:space="preserve">Art. 1º Encerrar o procedimento especial de verificação de origem não preferencial, com a desqualificação da origem Tailândia para o produto lonas de policloreto de vinila (lonas de PVC) com reforço têxtil revestido em ambas as faces, classificado no subitem 3921.90.19 da Nomenclatura Comum do Mercosul (NCM), declarado como produzido pela empresa YULI PLASTIC (THAILAND) CO., LTD. </w:t>
      </w:r>
    </w:p>
    <w:p w14:paraId="62AA47C1" w14:textId="77777777" w:rsidR="00C209A6" w:rsidRDefault="00C209A6" w:rsidP="00C209A6">
      <w:pPr>
        <w:shd w:val="clear" w:color="auto" w:fill="FFFFFF"/>
        <w:spacing w:after="0" w:line="240" w:lineRule="auto"/>
        <w:rPr>
          <w:sz w:val="22"/>
          <w:szCs w:val="22"/>
        </w:rPr>
      </w:pPr>
    </w:p>
    <w:p w14:paraId="54B2C70F" w14:textId="77777777" w:rsidR="00C209A6" w:rsidRDefault="00341F22" w:rsidP="00C209A6">
      <w:pPr>
        <w:shd w:val="clear" w:color="auto" w:fill="FFFFFF"/>
        <w:spacing w:after="0" w:line="240" w:lineRule="auto"/>
        <w:rPr>
          <w:sz w:val="22"/>
          <w:szCs w:val="22"/>
        </w:rPr>
      </w:pPr>
      <w:r w:rsidRPr="00C209A6">
        <w:rPr>
          <w:sz w:val="22"/>
          <w:szCs w:val="22"/>
        </w:rPr>
        <w:t xml:space="preserve">Art. 2º Indeferir as licenças de importação solicitadas pelos importadores brasileiros referentes ao produto e produtor mencionados no art. 1o , quando a origem declarada for Tailândia. HERLON ALVES BRANDÃO </w:t>
      </w:r>
    </w:p>
    <w:p w14:paraId="2744F202" w14:textId="77777777" w:rsidR="00C209A6" w:rsidRDefault="00C209A6" w:rsidP="00C209A6">
      <w:pPr>
        <w:shd w:val="clear" w:color="auto" w:fill="FFFFFF"/>
        <w:spacing w:after="0" w:line="240" w:lineRule="auto"/>
        <w:rPr>
          <w:sz w:val="22"/>
          <w:szCs w:val="22"/>
        </w:rPr>
      </w:pPr>
    </w:p>
    <w:p w14:paraId="7620747D" w14:textId="5621D0A0" w:rsidR="00354B19" w:rsidRPr="00C209A6" w:rsidRDefault="00354B19" w:rsidP="00C209A6">
      <w:pPr>
        <w:shd w:val="clear" w:color="auto" w:fill="FFFFFF"/>
        <w:spacing w:after="0" w:line="240" w:lineRule="auto"/>
        <w:rPr>
          <w:sz w:val="22"/>
          <w:szCs w:val="22"/>
        </w:rPr>
      </w:pPr>
    </w:p>
    <w:p w14:paraId="738C25AD" w14:textId="049F555A" w:rsidR="00C209A6" w:rsidRPr="00C209A6" w:rsidRDefault="00354B19" w:rsidP="00C209A6">
      <w:pPr>
        <w:shd w:val="clear" w:color="auto" w:fill="FFFFFF"/>
        <w:spacing w:after="0" w:line="240" w:lineRule="auto"/>
        <w:jc w:val="center"/>
        <w:rPr>
          <w:b/>
          <w:bCs/>
          <w:sz w:val="22"/>
          <w:szCs w:val="22"/>
        </w:rPr>
      </w:pPr>
      <w:r w:rsidRPr="00C209A6">
        <w:rPr>
          <w:b/>
          <w:bCs/>
          <w:sz w:val="22"/>
          <w:szCs w:val="22"/>
        </w:rPr>
        <w:t>PORTARIA</w:t>
      </w:r>
      <w:r w:rsidR="00C209A6" w:rsidRPr="00C209A6">
        <w:rPr>
          <w:b/>
          <w:bCs/>
          <w:sz w:val="22"/>
          <w:szCs w:val="22"/>
        </w:rPr>
        <w:t xml:space="preserve"> SECINT</w:t>
      </w:r>
      <w:r w:rsidRPr="00C209A6">
        <w:rPr>
          <w:b/>
          <w:bCs/>
          <w:sz w:val="22"/>
          <w:szCs w:val="22"/>
        </w:rPr>
        <w:t xml:space="preserve"> No 474, DE 28 DE JUNHO DE 2019 (DOU 01/7/2019)</w:t>
      </w:r>
    </w:p>
    <w:p w14:paraId="0B02C72A" w14:textId="77777777" w:rsidR="00C209A6" w:rsidRDefault="00C209A6" w:rsidP="00C209A6">
      <w:pPr>
        <w:shd w:val="clear" w:color="auto" w:fill="FFFFFF"/>
        <w:spacing w:after="0" w:line="240" w:lineRule="auto"/>
        <w:rPr>
          <w:sz w:val="22"/>
          <w:szCs w:val="22"/>
        </w:rPr>
      </w:pPr>
    </w:p>
    <w:p w14:paraId="043B5A8A" w14:textId="77777777" w:rsidR="00C209A6" w:rsidRDefault="00354B19" w:rsidP="00C209A6">
      <w:pPr>
        <w:shd w:val="clear" w:color="auto" w:fill="FFFFFF"/>
        <w:spacing w:after="0" w:line="240" w:lineRule="auto"/>
        <w:rPr>
          <w:sz w:val="22"/>
          <w:szCs w:val="22"/>
        </w:rPr>
      </w:pPr>
      <w:r w:rsidRPr="00C209A6">
        <w:rPr>
          <w:sz w:val="22"/>
          <w:szCs w:val="22"/>
        </w:rPr>
        <w:lastRenderedPageBreak/>
        <w:t xml:space="preserve">Prorroga direito antidumping definitivo, por um prazo de até 5 (cinco) anos, aplicado às importações brasileiras de ventiladores de mesa, acima de 15 cm, com motor elétrico incorporado, de potência não superior a 125W, originárias da República Popular da China. A SECRETÁRIA ESPECIAL DE COMÉRCIO EXTERIOR E ASSUNTOS INTERNACIONAIS SUBSTITUTA DO MINISTÉRIO DA ECONOMIA, no uso das atribuições que lhe confere o art. 82, inciso V do Anexo I do Decreto no 9.745, de 8 de abril de 2019, e considerando o que consta dos autos do Processo SECEX 52272.001627/2018-19, conduzido em conformidade com o disposto no Decreto nº 8.058, de 26 de julho de 2013, resolve: </w:t>
      </w:r>
    </w:p>
    <w:p w14:paraId="35EC8B61" w14:textId="77777777" w:rsidR="00C209A6" w:rsidRDefault="00C209A6" w:rsidP="00C209A6">
      <w:pPr>
        <w:shd w:val="clear" w:color="auto" w:fill="FFFFFF"/>
        <w:spacing w:after="0" w:line="240" w:lineRule="auto"/>
        <w:rPr>
          <w:sz w:val="22"/>
          <w:szCs w:val="22"/>
        </w:rPr>
      </w:pPr>
    </w:p>
    <w:p w14:paraId="2F8C134A" w14:textId="77777777" w:rsidR="00C209A6" w:rsidRDefault="00354B19" w:rsidP="00C209A6">
      <w:pPr>
        <w:shd w:val="clear" w:color="auto" w:fill="FFFFFF"/>
        <w:spacing w:after="0" w:line="240" w:lineRule="auto"/>
        <w:rPr>
          <w:sz w:val="22"/>
          <w:szCs w:val="22"/>
        </w:rPr>
      </w:pPr>
      <w:r w:rsidRPr="00C209A6">
        <w:rPr>
          <w:sz w:val="22"/>
          <w:szCs w:val="22"/>
        </w:rPr>
        <w:t xml:space="preserve">Art. 1º Prorrogar a aplicação do direito antidumping definitivo, por um prazo de até 5 (cinco) anos, aplicado às importações brasileiras de ventiladores de mesa, acima de 15 cm, com motor elétrico incorporado, de potência não superior a 125W, comumente classificadas no subitem 8414.51.10 da Nomenclatura Comum do Mercosul - NCM, originárias da China, a ser recolhido sob a forma de alíquota específica fixada em dólares estadunidenses por unidade, no montante abaixo especificado, inferior ao do direito anteriormente em vigor: . Origem Produtor/Exportador Direito Antidumping Definitivo (em US$/unidade) . China Todas as empresas 11,76 </w:t>
      </w:r>
    </w:p>
    <w:p w14:paraId="69A286BA" w14:textId="77777777" w:rsidR="00C209A6" w:rsidRDefault="00C209A6" w:rsidP="00C209A6">
      <w:pPr>
        <w:shd w:val="clear" w:color="auto" w:fill="FFFFFF"/>
        <w:spacing w:after="0" w:line="240" w:lineRule="auto"/>
        <w:rPr>
          <w:sz w:val="22"/>
          <w:szCs w:val="22"/>
        </w:rPr>
      </w:pPr>
    </w:p>
    <w:p w14:paraId="1A88CE02" w14:textId="77777777" w:rsidR="00651BB2" w:rsidRDefault="00354B19" w:rsidP="00C209A6">
      <w:pPr>
        <w:shd w:val="clear" w:color="auto" w:fill="FFFFFF"/>
        <w:spacing w:after="0" w:line="240" w:lineRule="auto"/>
        <w:rPr>
          <w:sz w:val="22"/>
          <w:szCs w:val="22"/>
        </w:rPr>
      </w:pPr>
      <w:r w:rsidRPr="00C209A6">
        <w:rPr>
          <w:sz w:val="22"/>
          <w:szCs w:val="22"/>
        </w:rPr>
        <w:t xml:space="preserve">Art. 2º Tornar públicos os fatos que justificaram a decisão, conforme consta do Anexo I. </w:t>
      </w:r>
    </w:p>
    <w:p w14:paraId="6A4D75A5" w14:textId="42A3A1F3" w:rsidR="00354B19" w:rsidRPr="00C209A6" w:rsidRDefault="00354B19" w:rsidP="00C209A6">
      <w:pPr>
        <w:shd w:val="clear" w:color="auto" w:fill="FFFFFF"/>
        <w:spacing w:after="0" w:line="240" w:lineRule="auto"/>
        <w:rPr>
          <w:sz w:val="22"/>
          <w:szCs w:val="22"/>
        </w:rPr>
      </w:pPr>
      <w:r w:rsidRPr="00C209A6">
        <w:rPr>
          <w:sz w:val="22"/>
          <w:szCs w:val="22"/>
        </w:rPr>
        <w:t>Art. 3º Esta Portaria entra em vigor na data de sua publicação no Diário Oficial da União. YANA DUMARESQ SOBRAL ALVES</w:t>
      </w:r>
    </w:p>
    <w:p w14:paraId="2F896F3B" w14:textId="467D04A6" w:rsidR="00354B19" w:rsidRPr="00C209A6" w:rsidRDefault="00354B19" w:rsidP="00C209A6">
      <w:pPr>
        <w:shd w:val="clear" w:color="auto" w:fill="FFFFFF"/>
        <w:spacing w:after="0" w:line="240" w:lineRule="auto"/>
        <w:rPr>
          <w:sz w:val="22"/>
          <w:szCs w:val="22"/>
        </w:rPr>
      </w:pPr>
    </w:p>
    <w:p w14:paraId="766056B5" w14:textId="77777777" w:rsidR="00651BB2" w:rsidRPr="00651BB2" w:rsidRDefault="00354B19" w:rsidP="00651BB2">
      <w:pPr>
        <w:shd w:val="clear" w:color="auto" w:fill="FFFFFF"/>
        <w:spacing w:after="0" w:line="240" w:lineRule="auto"/>
        <w:jc w:val="center"/>
        <w:rPr>
          <w:b/>
          <w:bCs/>
          <w:sz w:val="22"/>
          <w:szCs w:val="22"/>
        </w:rPr>
      </w:pPr>
      <w:r w:rsidRPr="00651BB2">
        <w:rPr>
          <w:b/>
          <w:bCs/>
          <w:sz w:val="22"/>
          <w:szCs w:val="22"/>
        </w:rPr>
        <w:t xml:space="preserve">CIRCULAR </w:t>
      </w:r>
      <w:r w:rsidR="00651BB2" w:rsidRPr="00651BB2">
        <w:rPr>
          <w:b/>
          <w:bCs/>
          <w:sz w:val="22"/>
          <w:szCs w:val="22"/>
        </w:rPr>
        <w:t xml:space="preserve">SECEX </w:t>
      </w:r>
      <w:r w:rsidRPr="00651BB2">
        <w:rPr>
          <w:b/>
          <w:bCs/>
          <w:sz w:val="22"/>
          <w:szCs w:val="22"/>
        </w:rPr>
        <w:t>No 38, DE 28 DE JUNHO DE 2019</w:t>
      </w:r>
      <w:r w:rsidR="00651BB2" w:rsidRPr="00651BB2">
        <w:rPr>
          <w:b/>
          <w:bCs/>
          <w:sz w:val="22"/>
          <w:szCs w:val="22"/>
        </w:rPr>
        <w:t xml:space="preserve"> (DOU 01/7/2019)</w:t>
      </w:r>
    </w:p>
    <w:p w14:paraId="390BB47D" w14:textId="77777777" w:rsidR="00651BB2" w:rsidRDefault="00651BB2" w:rsidP="00C209A6">
      <w:pPr>
        <w:shd w:val="clear" w:color="auto" w:fill="FFFFFF"/>
        <w:spacing w:after="0" w:line="240" w:lineRule="auto"/>
        <w:rPr>
          <w:sz w:val="22"/>
          <w:szCs w:val="22"/>
        </w:rPr>
      </w:pPr>
    </w:p>
    <w:p w14:paraId="60DB913F" w14:textId="77777777" w:rsidR="00651BB2" w:rsidRDefault="00354B19" w:rsidP="00C209A6">
      <w:pPr>
        <w:shd w:val="clear" w:color="auto" w:fill="FFFFFF"/>
        <w:spacing w:after="0" w:line="240" w:lineRule="auto"/>
        <w:rPr>
          <w:sz w:val="22"/>
          <w:szCs w:val="22"/>
        </w:rPr>
      </w:pPr>
      <w:r w:rsidRPr="00C209A6">
        <w:rPr>
          <w:sz w:val="22"/>
          <w:szCs w:val="22"/>
        </w:rPr>
        <w:t xml:space="preserve">O SECRETÁRIO DE COMÉRCIO EXTERIOR, SUBSTITUTO, DA SECRETARIA ESPECIAL DE COMÉRCIO EXTERIOR E ASSUNTOS INTENACIONAIS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52272.001246/2017-59 e do Parecer SDCOM no 6, de 24 de junho de 2019, elaborado pela Subsecretaria de Defesa Comercial e Interesse Público - SDCOM desta Secretaria, decide: </w:t>
      </w:r>
    </w:p>
    <w:p w14:paraId="1955CDB9" w14:textId="77777777" w:rsidR="00651BB2" w:rsidRDefault="00651BB2" w:rsidP="00C209A6">
      <w:pPr>
        <w:shd w:val="clear" w:color="auto" w:fill="FFFFFF"/>
        <w:spacing w:after="0" w:line="240" w:lineRule="auto"/>
        <w:rPr>
          <w:sz w:val="22"/>
          <w:szCs w:val="22"/>
        </w:rPr>
      </w:pPr>
    </w:p>
    <w:p w14:paraId="2C3E5216" w14:textId="77777777" w:rsidR="00651BB2" w:rsidRDefault="00354B19" w:rsidP="00C209A6">
      <w:pPr>
        <w:shd w:val="clear" w:color="auto" w:fill="FFFFFF"/>
        <w:spacing w:after="0" w:line="240" w:lineRule="auto"/>
        <w:rPr>
          <w:sz w:val="22"/>
          <w:szCs w:val="22"/>
        </w:rPr>
      </w:pPr>
      <w:r w:rsidRPr="00C209A6">
        <w:rPr>
          <w:sz w:val="22"/>
          <w:szCs w:val="22"/>
        </w:rPr>
        <w:t>1. Encerrar a investigação iniciada por intermédio da Circular SECEX no 14, de 23 de março de 2018, publicada no Diário Oficial da União (D.O.U) de 26 de março de 2018, sem aplicação de medida de defesa comercial, uma vez que não houve comprovação de dano significativo causado à indústria doméstica pelas importações de cilindros de laminação, de ferro ou aço fundidos, com diâmetro externo da mesa de trabalho igual ou superior a 250 mm, mas não superior a 1.850 mm, e com comprimento da mesa de trabalho igual ou superior a 150 mm, mas não superior a 1.300 mm, comumente classificadas nos subitens tarifários 8455.30.10 e 8455.30.90 da Nomenclatura Comum do Mercosul - NCM, originárias da China, nos termos do art. 5º, Inciso II, do Decreto no 8.058, de 2013.</w:t>
      </w:r>
    </w:p>
    <w:p w14:paraId="233C7E03" w14:textId="77777777" w:rsidR="00651BB2" w:rsidRDefault="00651BB2" w:rsidP="00C209A6">
      <w:pPr>
        <w:shd w:val="clear" w:color="auto" w:fill="FFFFFF"/>
        <w:spacing w:after="0" w:line="240" w:lineRule="auto"/>
        <w:rPr>
          <w:sz w:val="22"/>
          <w:szCs w:val="22"/>
        </w:rPr>
      </w:pPr>
    </w:p>
    <w:p w14:paraId="3D452C78" w14:textId="77777777" w:rsidR="00651BB2" w:rsidRDefault="00354B19" w:rsidP="00C209A6">
      <w:pPr>
        <w:shd w:val="clear" w:color="auto" w:fill="FFFFFF"/>
        <w:spacing w:after="0" w:line="240" w:lineRule="auto"/>
        <w:rPr>
          <w:sz w:val="22"/>
          <w:szCs w:val="22"/>
        </w:rPr>
      </w:pPr>
      <w:r w:rsidRPr="00C209A6">
        <w:rPr>
          <w:sz w:val="22"/>
          <w:szCs w:val="22"/>
        </w:rPr>
        <w:t xml:space="preserve">2. Tornar públicos os fatos que justificaram essa decisão, conforme o anexo a esta Circular. </w:t>
      </w:r>
    </w:p>
    <w:p w14:paraId="0B2D3051" w14:textId="77777777" w:rsidR="00651BB2" w:rsidRDefault="00651BB2" w:rsidP="00C209A6">
      <w:pPr>
        <w:shd w:val="clear" w:color="auto" w:fill="FFFFFF"/>
        <w:spacing w:after="0" w:line="240" w:lineRule="auto"/>
        <w:rPr>
          <w:sz w:val="22"/>
          <w:szCs w:val="22"/>
        </w:rPr>
      </w:pPr>
    </w:p>
    <w:p w14:paraId="45282274" w14:textId="21C7DB1A" w:rsidR="00354B19" w:rsidRPr="00C209A6" w:rsidRDefault="00354B19" w:rsidP="00C209A6">
      <w:pPr>
        <w:shd w:val="clear" w:color="auto" w:fill="FFFFFF"/>
        <w:spacing w:after="0" w:line="240" w:lineRule="auto"/>
        <w:rPr>
          <w:sz w:val="22"/>
          <w:szCs w:val="22"/>
        </w:rPr>
      </w:pPr>
      <w:r w:rsidRPr="00C209A6">
        <w:rPr>
          <w:sz w:val="22"/>
          <w:szCs w:val="22"/>
        </w:rPr>
        <w:t>3. Esta Circular entra em vigor na data de sua publicação no Diário Oficial da União. HERLON ALVES BRANDÃO</w:t>
      </w:r>
    </w:p>
    <w:p w14:paraId="16A474EE" w14:textId="77777777" w:rsidR="00651BB2" w:rsidRDefault="00651BB2" w:rsidP="00C209A6">
      <w:pPr>
        <w:shd w:val="clear" w:color="auto" w:fill="FFFFFF"/>
        <w:spacing w:after="0" w:line="240" w:lineRule="auto"/>
        <w:rPr>
          <w:sz w:val="22"/>
          <w:szCs w:val="22"/>
        </w:rPr>
      </w:pPr>
    </w:p>
    <w:p w14:paraId="652013B2" w14:textId="77777777" w:rsidR="00651BB2" w:rsidRDefault="00651BB2" w:rsidP="00C209A6">
      <w:pPr>
        <w:shd w:val="clear" w:color="auto" w:fill="FFFFFF"/>
        <w:spacing w:after="0" w:line="240" w:lineRule="auto"/>
        <w:rPr>
          <w:sz w:val="22"/>
          <w:szCs w:val="22"/>
        </w:rPr>
      </w:pPr>
    </w:p>
    <w:p w14:paraId="1A5BBF98" w14:textId="77777777" w:rsidR="00651BB2" w:rsidRDefault="00651BB2" w:rsidP="00C209A6">
      <w:pPr>
        <w:shd w:val="clear" w:color="auto" w:fill="FFFFFF"/>
        <w:spacing w:after="0" w:line="240" w:lineRule="auto"/>
        <w:rPr>
          <w:sz w:val="22"/>
          <w:szCs w:val="22"/>
        </w:rPr>
      </w:pPr>
    </w:p>
    <w:p w14:paraId="23FB65B2" w14:textId="77777777" w:rsidR="00651BB2" w:rsidRPr="00651BB2" w:rsidRDefault="00354B19" w:rsidP="00651BB2">
      <w:pPr>
        <w:shd w:val="clear" w:color="auto" w:fill="FFFFFF"/>
        <w:spacing w:after="0" w:line="240" w:lineRule="auto"/>
        <w:jc w:val="center"/>
        <w:rPr>
          <w:b/>
          <w:bCs/>
          <w:sz w:val="22"/>
          <w:szCs w:val="22"/>
        </w:rPr>
      </w:pPr>
      <w:r w:rsidRPr="00651BB2">
        <w:rPr>
          <w:b/>
          <w:bCs/>
          <w:sz w:val="22"/>
          <w:szCs w:val="22"/>
        </w:rPr>
        <w:t>CIRCULAR</w:t>
      </w:r>
      <w:r w:rsidR="00651BB2" w:rsidRPr="00651BB2">
        <w:rPr>
          <w:b/>
          <w:bCs/>
          <w:sz w:val="22"/>
          <w:szCs w:val="22"/>
        </w:rPr>
        <w:t xml:space="preserve"> SECEX</w:t>
      </w:r>
      <w:r w:rsidRPr="00651BB2">
        <w:rPr>
          <w:b/>
          <w:bCs/>
          <w:sz w:val="22"/>
          <w:szCs w:val="22"/>
        </w:rPr>
        <w:t xml:space="preserve"> No 39, DE 28 DE JUNHO DE 2019</w:t>
      </w:r>
      <w:r w:rsidR="00651BB2" w:rsidRPr="00651BB2">
        <w:rPr>
          <w:b/>
          <w:bCs/>
          <w:sz w:val="22"/>
          <w:szCs w:val="22"/>
        </w:rPr>
        <w:t xml:space="preserve"> (dou 01/7/2019)</w:t>
      </w:r>
    </w:p>
    <w:p w14:paraId="44C40964" w14:textId="77777777" w:rsidR="00651BB2" w:rsidRDefault="00651BB2" w:rsidP="00C209A6">
      <w:pPr>
        <w:shd w:val="clear" w:color="auto" w:fill="FFFFFF"/>
        <w:spacing w:after="0" w:line="240" w:lineRule="auto"/>
        <w:rPr>
          <w:sz w:val="22"/>
          <w:szCs w:val="22"/>
        </w:rPr>
      </w:pPr>
    </w:p>
    <w:p w14:paraId="075B7D16" w14:textId="77777777" w:rsidR="00651BB2" w:rsidRDefault="00354B19" w:rsidP="00C209A6">
      <w:pPr>
        <w:shd w:val="clear" w:color="auto" w:fill="FFFFFF"/>
        <w:spacing w:after="0" w:line="240" w:lineRule="auto"/>
        <w:rPr>
          <w:sz w:val="22"/>
          <w:szCs w:val="22"/>
        </w:rPr>
      </w:pPr>
      <w:r w:rsidRPr="00C209A6">
        <w:rPr>
          <w:sz w:val="22"/>
          <w:szCs w:val="22"/>
        </w:rPr>
        <w:lastRenderedPageBreak/>
        <w:t xml:space="preserve">SECRETÁRIO DE COMÉRCIO EXTERIOR, SUBSTITUTO,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2272.002887/2019-92 e do Parecer no 16, de 28 de junho de 2019, elaborado pelo Subsecretaria de Defesa Comercial e Interesse Público - SDCOM desta Secretaria, considerando existirem elementos suficientes que indicam que a extinção dos direitos antidumping aplicados às importações do produto objeto desta Circular levaria, muito provavelmente, à continuação ou retomada do dumping e do dano à indústria doméstica dele decorrente, decide: </w:t>
      </w:r>
    </w:p>
    <w:p w14:paraId="6708BCB1" w14:textId="77777777" w:rsidR="00651BB2" w:rsidRDefault="00651BB2" w:rsidP="00C209A6">
      <w:pPr>
        <w:shd w:val="clear" w:color="auto" w:fill="FFFFFF"/>
        <w:spacing w:after="0" w:line="240" w:lineRule="auto"/>
        <w:rPr>
          <w:sz w:val="22"/>
          <w:szCs w:val="22"/>
        </w:rPr>
      </w:pPr>
    </w:p>
    <w:p w14:paraId="709A8C78" w14:textId="77777777" w:rsidR="00651BB2" w:rsidRDefault="00354B19" w:rsidP="00C209A6">
      <w:pPr>
        <w:shd w:val="clear" w:color="auto" w:fill="FFFFFF"/>
        <w:spacing w:after="0" w:line="240" w:lineRule="auto"/>
        <w:rPr>
          <w:sz w:val="22"/>
          <w:szCs w:val="22"/>
        </w:rPr>
      </w:pPr>
      <w:r w:rsidRPr="00C209A6">
        <w:rPr>
          <w:sz w:val="22"/>
          <w:szCs w:val="22"/>
        </w:rPr>
        <w:t xml:space="preserve">1. Iniciar revisão da medida antidumping instituída pela Resolução CAMEX no 47, de 3 de julho de 2014, publicada no D.O.U de 4 de julho de 2014, aplicada às importações brasileiras de filtros cerâmicos refratários, classificados nos subitens 6903.90.91 e 6903.90.99 da Nomenclatura Comum do Mercosul - NCM, originários da República Popular da China. </w:t>
      </w:r>
    </w:p>
    <w:p w14:paraId="00BC7467" w14:textId="77777777" w:rsidR="00651BB2" w:rsidRDefault="00651BB2" w:rsidP="00C209A6">
      <w:pPr>
        <w:shd w:val="clear" w:color="auto" w:fill="FFFFFF"/>
        <w:spacing w:after="0" w:line="240" w:lineRule="auto"/>
        <w:rPr>
          <w:sz w:val="22"/>
          <w:szCs w:val="22"/>
        </w:rPr>
      </w:pPr>
    </w:p>
    <w:p w14:paraId="713E2135" w14:textId="77777777" w:rsidR="00C86DB8" w:rsidRDefault="00354B19" w:rsidP="00C209A6">
      <w:pPr>
        <w:shd w:val="clear" w:color="auto" w:fill="FFFFFF"/>
        <w:spacing w:after="0" w:line="240" w:lineRule="auto"/>
        <w:rPr>
          <w:sz w:val="22"/>
          <w:szCs w:val="22"/>
        </w:rPr>
      </w:pPr>
      <w:r w:rsidRPr="00C209A6">
        <w:rPr>
          <w:sz w:val="22"/>
          <w:szCs w:val="22"/>
        </w:rPr>
        <w:t xml:space="preserve">1.1. Tornar públicos os fatos que justificaram a decisão de início da revisão, conforme o anexo à presente circular. </w:t>
      </w:r>
    </w:p>
    <w:p w14:paraId="72716999" w14:textId="77777777" w:rsidR="00C86DB8" w:rsidRDefault="00C86DB8" w:rsidP="00C209A6">
      <w:pPr>
        <w:shd w:val="clear" w:color="auto" w:fill="FFFFFF"/>
        <w:spacing w:after="0" w:line="240" w:lineRule="auto"/>
        <w:rPr>
          <w:sz w:val="22"/>
          <w:szCs w:val="22"/>
        </w:rPr>
      </w:pPr>
    </w:p>
    <w:p w14:paraId="5C60FB1F" w14:textId="77777777" w:rsidR="00C86DB8" w:rsidRDefault="00354B19" w:rsidP="00C209A6">
      <w:pPr>
        <w:shd w:val="clear" w:color="auto" w:fill="FFFFFF"/>
        <w:spacing w:after="0" w:line="240" w:lineRule="auto"/>
        <w:rPr>
          <w:sz w:val="22"/>
          <w:szCs w:val="22"/>
        </w:rPr>
      </w:pPr>
      <w:r w:rsidRPr="00C209A6">
        <w:rPr>
          <w:sz w:val="22"/>
          <w:szCs w:val="22"/>
        </w:rPr>
        <w:t xml:space="preserve">1.2. A data do início da revisão será a da publicação desta circular no Diário Oficial da União - D.O.U. </w:t>
      </w:r>
    </w:p>
    <w:p w14:paraId="6FB14D81" w14:textId="77777777" w:rsidR="00C86DB8" w:rsidRDefault="00C86DB8" w:rsidP="00C209A6">
      <w:pPr>
        <w:shd w:val="clear" w:color="auto" w:fill="FFFFFF"/>
        <w:spacing w:after="0" w:line="240" w:lineRule="auto"/>
        <w:rPr>
          <w:sz w:val="22"/>
          <w:szCs w:val="22"/>
        </w:rPr>
      </w:pPr>
    </w:p>
    <w:p w14:paraId="48893A94" w14:textId="0F8EADE1" w:rsidR="00354B19" w:rsidRPr="00C209A6" w:rsidRDefault="00354B19" w:rsidP="00C209A6">
      <w:pPr>
        <w:shd w:val="clear" w:color="auto" w:fill="FFFFFF"/>
        <w:spacing w:after="0" w:line="240" w:lineRule="auto"/>
        <w:rPr>
          <w:sz w:val="22"/>
          <w:szCs w:val="22"/>
        </w:rPr>
      </w:pPr>
      <w:r w:rsidRPr="00C209A6">
        <w:rPr>
          <w:sz w:val="22"/>
          <w:szCs w:val="22"/>
        </w:rPr>
        <w:t>2. A análise da probabilidade de continuação ou retomada do dumping que antecedeu o início da revisão considerou o período de janeiro de 2014 a dezembro de 2018. Já a análise da probabilidade de continuação ou retomada do dano que antecedeu o início da revisão considerou o período de janeiro a dezembro de 2018.</w:t>
      </w:r>
    </w:p>
    <w:p w14:paraId="34842DFB" w14:textId="77777777" w:rsidR="00C86DB8" w:rsidRDefault="00C86DB8" w:rsidP="00C209A6">
      <w:pPr>
        <w:shd w:val="clear" w:color="auto" w:fill="FFFFFF"/>
        <w:spacing w:after="0" w:line="240" w:lineRule="auto"/>
        <w:rPr>
          <w:sz w:val="22"/>
          <w:szCs w:val="22"/>
        </w:rPr>
      </w:pPr>
    </w:p>
    <w:p w14:paraId="0EBD73CA" w14:textId="648A38FD" w:rsidR="00C86DB8" w:rsidRDefault="00354B19" w:rsidP="00C209A6">
      <w:pPr>
        <w:shd w:val="clear" w:color="auto" w:fill="FFFFFF"/>
        <w:spacing w:after="0" w:line="240" w:lineRule="auto"/>
        <w:rPr>
          <w:sz w:val="22"/>
          <w:szCs w:val="22"/>
        </w:rPr>
      </w:pPr>
      <w:r w:rsidRPr="00C209A6">
        <w:rPr>
          <w:sz w:val="22"/>
          <w:szCs w:val="22"/>
        </w:rPr>
        <w:t xml:space="preserve">3. A participação das partes interessadas no curso desta revisão de medida de defesa comercial deverá realizar-se necessariamente por meio do Sistema DECOM Digital (SDD), de acordo com a Portaria SECEX nº 58, de 29 de julho de 2015. O endereço do SDD é </w:t>
      </w:r>
      <w:hyperlink r:id="rId6" w:history="1">
        <w:r w:rsidR="00C86DB8" w:rsidRPr="00FF032D">
          <w:rPr>
            <w:rStyle w:val="Hyperlink"/>
            <w:sz w:val="22"/>
            <w:szCs w:val="22"/>
          </w:rPr>
          <w:t>http://decomdigital.mdic.gov.br</w:t>
        </w:r>
      </w:hyperlink>
      <w:r w:rsidRPr="00C209A6">
        <w:rPr>
          <w:sz w:val="22"/>
          <w:szCs w:val="22"/>
        </w:rPr>
        <w:t xml:space="preserve">. </w:t>
      </w:r>
    </w:p>
    <w:p w14:paraId="4C220720" w14:textId="77777777" w:rsidR="00C86DB8" w:rsidRDefault="00C86DB8" w:rsidP="00C209A6">
      <w:pPr>
        <w:shd w:val="clear" w:color="auto" w:fill="FFFFFF"/>
        <w:spacing w:after="0" w:line="240" w:lineRule="auto"/>
        <w:rPr>
          <w:sz w:val="22"/>
          <w:szCs w:val="22"/>
        </w:rPr>
      </w:pPr>
    </w:p>
    <w:p w14:paraId="2DDC976C" w14:textId="77777777" w:rsidR="00C86DB8" w:rsidRDefault="00C86DB8" w:rsidP="00C209A6">
      <w:pPr>
        <w:shd w:val="clear" w:color="auto" w:fill="FFFFFF"/>
        <w:spacing w:after="0" w:line="240" w:lineRule="auto"/>
        <w:rPr>
          <w:sz w:val="22"/>
          <w:szCs w:val="22"/>
        </w:rPr>
      </w:pPr>
    </w:p>
    <w:p w14:paraId="498401A6" w14:textId="5078302A" w:rsidR="00C86DB8" w:rsidRDefault="00354B19" w:rsidP="00C209A6">
      <w:pPr>
        <w:shd w:val="clear" w:color="auto" w:fill="FFFFFF"/>
        <w:spacing w:after="0" w:line="240" w:lineRule="auto"/>
        <w:rPr>
          <w:sz w:val="22"/>
          <w:szCs w:val="22"/>
        </w:rPr>
      </w:pPr>
      <w:r w:rsidRPr="00C209A6">
        <w:rPr>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14:paraId="7F572601" w14:textId="77777777" w:rsidR="00C86DB8" w:rsidRDefault="00C86DB8" w:rsidP="00C209A6">
      <w:pPr>
        <w:shd w:val="clear" w:color="auto" w:fill="FFFFFF"/>
        <w:spacing w:after="0" w:line="240" w:lineRule="auto"/>
        <w:rPr>
          <w:sz w:val="22"/>
          <w:szCs w:val="22"/>
        </w:rPr>
      </w:pPr>
    </w:p>
    <w:p w14:paraId="4746E51D" w14:textId="77777777" w:rsidR="00C86DB8" w:rsidRDefault="00354B19" w:rsidP="00C209A6">
      <w:pPr>
        <w:shd w:val="clear" w:color="auto" w:fill="FFFFFF"/>
        <w:spacing w:after="0" w:line="240" w:lineRule="auto"/>
        <w:rPr>
          <w:sz w:val="22"/>
          <w:szCs w:val="22"/>
        </w:rPr>
      </w:pPr>
      <w:r w:rsidRPr="00C209A6">
        <w:rPr>
          <w:sz w:val="22"/>
          <w:szCs w:val="22"/>
        </w:rPr>
        <w:t xml:space="preserve">5. A participação das partes interessadas no curso desta revisão de medida de defesa comercial deverá realizar-se por meio de representante legal habilitado junto à SDCOM,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revisão, sem possibilidade de prorrogação. A ausência de regularização da representação nos prazos e condições previstos fará com que os atos a que fazem referência este parágrafo sejam havidos por inexistentes. </w:t>
      </w:r>
    </w:p>
    <w:p w14:paraId="2681428D" w14:textId="77777777" w:rsidR="00C86DB8" w:rsidRDefault="00C86DB8" w:rsidP="00C209A6">
      <w:pPr>
        <w:shd w:val="clear" w:color="auto" w:fill="FFFFFF"/>
        <w:spacing w:after="0" w:line="240" w:lineRule="auto"/>
        <w:rPr>
          <w:sz w:val="22"/>
          <w:szCs w:val="22"/>
        </w:rPr>
      </w:pPr>
    </w:p>
    <w:p w14:paraId="677328E8" w14:textId="77777777" w:rsidR="00C86DB8" w:rsidRDefault="00354B19" w:rsidP="00C209A6">
      <w:pPr>
        <w:shd w:val="clear" w:color="auto" w:fill="FFFFFF"/>
        <w:spacing w:after="0" w:line="240" w:lineRule="auto"/>
        <w:rPr>
          <w:sz w:val="22"/>
          <w:szCs w:val="22"/>
        </w:rPr>
      </w:pPr>
      <w:r w:rsidRPr="00C209A6">
        <w:rPr>
          <w:sz w:val="22"/>
          <w:szCs w:val="22"/>
        </w:rPr>
        <w:t xml:space="preserve">6. A representação de governos estrangeiros dar-se-á por meio do chefe da representação oficial no Brasil ou por meio de representante por ele designado. A designação de representantes </w:t>
      </w:r>
      <w:r w:rsidRPr="00C209A6">
        <w:rPr>
          <w:sz w:val="22"/>
          <w:szCs w:val="22"/>
        </w:rPr>
        <w:lastRenderedPageBreak/>
        <w:t xml:space="preserve">deverá ser protocolada, por meio do SDD, junto à SDCOM em comunicação oficial da representação correspondente. </w:t>
      </w:r>
    </w:p>
    <w:p w14:paraId="2664BB2A" w14:textId="77777777" w:rsidR="00C86DB8" w:rsidRDefault="00C86DB8" w:rsidP="00C209A6">
      <w:pPr>
        <w:shd w:val="clear" w:color="auto" w:fill="FFFFFF"/>
        <w:spacing w:after="0" w:line="240" w:lineRule="auto"/>
        <w:rPr>
          <w:sz w:val="22"/>
          <w:szCs w:val="22"/>
        </w:rPr>
      </w:pPr>
    </w:p>
    <w:p w14:paraId="4C9563B3" w14:textId="77777777" w:rsidR="00C86DB8" w:rsidRDefault="00354B19" w:rsidP="00C209A6">
      <w:pPr>
        <w:shd w:val="clear" w:color="auto" w:fill="FFFFFF"/>
        <w:spacing w:after="0" w:line="240" w:lineRule="auto"/>
        <w:rPr>
          <w:sz w:val="22"/>
          <w:szCs w:val="22"/>
        </w:rPr>
      </w:pPr>
      <w:r w:rsidRPr="00C209A6">
        <w:rPr>
          <w:sz w:val="22"/>
          <w:szCs w:val="22"/>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pela SDCOM 5 (cinco) dias após a data de seu envio ou transmissão, no caso de partes interessadas nacionais, e 10 (dez) dias, caso sejam estrangeiras, conforme o art. 19 da Lei 12.995, de 18 de junho de 2014. </w:t>
      </w:r>
    </w:p>
    <w:p w14:paraId="246779F3" w14:textId="77777777" w:rsidR="00C86DB8" w:rsidRDefault="00C86DB8" w:rsidP="00C209A6">
      <w:pPr>
        <w:shd w:val="clear" w:color="auto" w:fill="FFFFFF"/>
        <w:spacing w:after="0" w:line="240" w:lineRule="auto"/>
        <w:rPr>
          <w:sz w:val="22"/>
          <w:szCs w:val="22"/>
        </w:rPr>
      </w:pPr>
    </w:p>
    <w:p w14:paraId="0B2C5663" w14:textId="77777777" w:rsidR="00C86DB8" w:rsidRDefault="00354B19" w:rsidP="00C209A6">
      <w:pPr>
        <w:shd w:val="clear" w:color="auto" w:fill="FFFFFF"/>
        <w:spacing w:after="0" w:line="240" w:lineRule="auto"/>
        <w:rPr>
          <w:sz w:val="22"/>
          <w:szCs w:val="22"/>
        </w:rPr>
      </w:pPr>
      <w:r w:rsidRPr="00C209A6">
        <w:rPr>
          <w:sz w:val="22"/>
          <w:szCs w:val="22"/>
        </w:rPr>
        <w:t xml:space="preserve">8. De acordo com o previsto nos arts.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revisão,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14:paraId="357D0ED4" w14:textId="77777777" w:rsidR="00C86DB8" w:rsidRDefault="00C86DB8" w:rsidP="00C209A6">
      <w:pPr>
        <w:shd w:val="clear" w:color="auto" w:fill="FFFFFF"/>
        <w:spacing w:after="0" w:line="240" w:lineRule="auto"/>
        <w:rPr>
          <w:sz w:val="22"/>
          <w:szCs w:val="22"/>
        </w:rPr>
      </w:pPr>
    </w:p>
    <w:p w14:paraId="5BDEE3F0" w14:textId="77777777" w:rsidR="00C86DB8" w:rsidRDefault="00354B19" w:rsidP="00C209A6">
      <w:pPr>
        <w:shd w:val="clear" w:color="auto" w:fill="FFFFFF"/>
        <w:spacing w:after="0" w:line="240" w:lineRule="auto"/>
        <w:rPr>
          <w:sz w:val="22"/>
          <w:szCs w:val="22"/>
        </w:rPr>
      </w:pPr>
      <w:r w:rsidRPr="00C209A6">
        <w:rPr>
          <w:sz w:val="22"/>
          <w:szCs w:val="22"/>
        </w:rPr>
        <w:t xml:space="preserve">9. Na forma do que dispõem o § 3o do art. 50 e o parágrafo único do art. 179 do Decreto no 8.058, de 2013, caso uma parte interessada negue acesso às informações necessárias, não as forneça tempestivamente ou crie obstáculos à revisão, a SDCOM poderá elaborar suas determinações finais com base nos fatos disponíveis, incluídos aqueles disponíveis na petição de início da revisão, o que poderá resultar em determinação menos favorável àquela parte do que seria caso a mesma tivesse cooperado. </w:t>
      </w:r>
    </w:p>
    <w:p w14:paraId="4C354EDD" w14:textId="77777777" w:rsidR="00C86DB8" w:rsidRDefault="00C86DB8" w:rsidP="00C209A6">
      <w:pPr>
        <w:shd w:val="clear" w:color="auto" w:fill="FFFFFF"/>
        <w:spacing w:after="0" w:line="240" w:lineRule="auto"/>
        <w:rPr>
          <w:sz w:val="22"/>
          <w:szCs w:val="22"/>
        </w:rPr>
      </w:pPr>
    </w:p>
    <w:p w14:paraId="30163286" w14:textId="77777777" w:rsidR="00C86DB8" w:rsidRDefault="00354B19" w:rsidP="00C209A6">
      <w:pPr>
        <w:shd w:val="clear" w:color="auto" w:fill="FFFFFF"/>
        <w:spacing w:after="0" w:line="240" w:lineRule="auto"/>
        <w:rPr>
          <w:sz w:val="22"/>
          <w:szCs w:val="22"/>
        </w:rPr>
      </w:pPr>
      <w:r w:rsidRPr="00C209A6">
        <w:rPr>
          <w:sz w:val="22"/>
          <w:szCs w:val="22"/>
        </w:rPr>
        <w:t xml:space="preserve">10. Caso se verifique que uma parte interessada prestou informações falsas ou errôneas, tais informações não serão consideradas e poderão ser utilizados os fatos disponíveis. </w:t>
      </w:r>
    </w:p>
    <w:p w14:paraId="47FCA371" w14:textId="77777777" w:rsidR="00C86DB8" w:rsidRDefault="00C86DB8" w:rsidP="00C209A6">
      <w:pPr>
        <w:shd w:val="clear" w:color="auto" w:fill="FFFFFF"/>
        <w:spacing w:after="0" w:line="240" w:lineRule="auto"/>
        <w:rPr>
          <w:sz w:val="22"/>
          <w:szCs w:val="22"/>
        </w:rPr>
      </w:pPr>
    </w:p>
    <w:p w14:paraId="07DC5A12" w14:textId="77777777" w:rsidR="00C86DB8" w:rsidRDefault="00354B19" w:rsidP="00C209A6">
      <w:pPr>
        <w:shd w:val="clear" w:color="auto" w:fill="FFFFFF"/>
        <w:spacing w:after="0" w:line="240" w:lineRule="auto"/>
        <w:rPr>
          <w:sz w:val="22"/>
          <w:szCs w:val="22"/>
        </w:rPr>
      </w:pPr>
      <w:r w:rsidRPr="00C209A6">
        <w:rPr>
          <w:sz w:val="22"/>
          <w:szCs w:val="22"/>
        </w:rPr>
        <w:t xml:space="preserve">11. À luz do disposto no art. 112 do Decreto no 8.058, de 2013, a revisão deverá ser concluída no prazo de dez meses, contado de sua data de início, podendo esse prazo ser prorrogado por até dois meses, em circunstâncias excepcionais. </w:t>
      </w:r>
    </w:p>
    <w:p w14:paraId="3BFB8392" w14:textId="77777777" w:rsidR="00C86DB8" w:rsidRDefault="00C86DB8" w:rsidP="00C209A6">
      <w:pPr>
        <w:shd w:val="clear" w:color="auto" w:fill="FFFFFF"/>
        <w:spacing w:after="0" w:line="240" w:lineRule="auto"/>
        <w:rPr>
          <w:sz w:val="22"/>
          <w:szCs w:val="22"/>
        </w:rPr>
      </w:pPr>
    </w:p>
    <w:p w14:paraId="22514528" w14:textId="77777777" w:rsidR="00C86DB8" w:rsidRDefault="00354B19" w:rsidP="00C209A6">
      <w:pPr>
        <w:shd w:val="clear" w:color="auto" w:fill="FFFFFF"/>
        <w:spacing w:after="0" w:line="240" w:lineRule="auto"/>
        <w:rPr>
          <w:sz w:val="22"/>
          <w:szCs w:val="22"/>
        </w:rPr>
      </w:pPr>
      <w:r w:rsidRPr="00C209A6">
        <w:rPr>
          <w:sz w:val="22"/>
          <w:szCs w:val="22"/>
        </w:rPr>
        <w:t xml:space="preserve">12. De acordo com o contido no § 2º do art. 112 do Decreto no 8.058, de 2013, as medidas antidumping de que trata a Resolução CAMEX nº 47, de 2014, permanecerão em vigor, no curso desta revisão. </w:t>
      </w:r>
    </w:p>
    <w:p w14:paraId="255CE5E2" w14:textId="77777777" w:rsidR="00C86DB8" w:rsidRDefault="00C86DB8" w:rsidP="00C209A6">
      <w:pPr>
        <w:shd w:val="clear" w:color="auto" w:fill="FFFFFF"/>
        <w:spacing w:after="0" w:line="240" w:lineRule="auto"/>
        <w:rPr>
          <w:sz w:val="22"/>
          <w:szCs w:val="22"/>
        </w:rPr>
      </w:pPr>
    </w:p>
    <w:p w14:paraId="2B2432F9" w14:textId="77777777" w:rsidR="00C86DB8" w:rsidRDefault="00354B19" w:rsidP="00C209A6">
      <w:pPr>
        <w:shd w:val="clear" w:color="auto" w:fill="FFFFFF"/>
        <w:spacing w:after="0" w:line="240" w:lineRule="auto"/>
        <w:rPr>
          <w:sz w:val="22"/>
          <w:szCs w:val="22"/>
        </w:rPr>
      </w:pPr>
      <w:r w:rsidRPr="00C209A6">
        <w:rPr>
          <w:sz w:val="22"/>
          <w:szCs w:val="22"/>
        </w:rPr>
        <w:t xml:space="preserve">13. Conforme previsto no § 2o do art. 5o da Portaria SECEX no 8, de 2019, a avaliação de interesse público será facultativa, a critério da SDCOM ou com base em questionário de interesse público apresentado por partes interessadas. </w:t>
      </w:r>
    </w:p>
    <w:p w14:paraId="52AF52A1" w14:textId="77777777" w:rsidR="00C86DB8" w:rsidRDefault="00C86DB8" w:rsidP="00C209A6">
      <w:pPr>
        <w:shd w:val="clear" w:color="auto" w:fill="FFFFFF"/>
        <w:spacing w:after="0" w:line="240" w:lineRule="auto"/>
        <w:rPr>
          <w:sz w:val="22"/>
          <w:szCs w:val="22"/>
        </w:rPr>
      </w:pPr>
    </w:p>
    <w:p w14:paraId="7E14D957" w14:textId="77777777" w:rsidR="00C86DB8" w:rsidRDefault="00354B19" w:rsidP="00C209A6">
      <w:pPr>
        <w:shd w:val="clear" w:color="auto" w:fill="FFFFFF"/>
        <w:spacing w:after="0" w:line="240" w:lineRule="auto"/>
        <w:rPr>
          <w:sz w:val="22"/>
          <w:szCs w:val="22"/>
        </w:rPr>
      </w:pPr>
      <w:r w:rsidRPr="00C209A6">
        <w:rPr>
          <w:sz w:val="22"/>
          <w:szCs w:val="22"/>
        </w:rPr>
        <w:t xml:space="preserve">14. As partes interessadas no processo de avaliação de interesse público disporão, para a submissão da resposta ao questionário de interesse público, do mesmo prazo inicial concedido para a restituição dos questionários de importador da revisão de final de período em curso. </w:t>
      </w:r>
    </w:p>
    <w:p w14:paraId="186295C7" w14:textId="77777777" w:rsidR="00C86DB8" w:rsidRDefault="00C86DB8" w:rsidP="00C209A6">
      <w:pPr>
        <w:shd w:val="clear" w:color="auto" w:fill="FFFFFF"/>
        <w:spacing w:after="0" w:line="240" w:lineRule="auto"/>
        <w:rPr>
          <w:sz w:val="22"/>
          <w:szCs w:val="22"/>
        </w:rPr>
      </w:pPr>
    </w:p>
    <w:p w14:paraId="66549C1A" w14:textId="77777777" w:rsidR="00C86DB8" w:rsidRDefault="00354B19" w:rsidP="00C209A6">
      <w:pPr>
        <w:shd w:val="clear" w:color="auto" w:fill="FFFFFF"/>
        <w:spacing w:after="0" w:line="240" w:lineRule="auto"/>
        <w:rPr>
          <w:sz w:val="22"/>
          <w:szCs w:val="22"/>
        </w:rPr>
      </w:pPr>
      <w:r w:rsidRPr="00C209A6">
        <w:rPr>
          <w:sz w:val="22"/>
          <w:szCs w:val="22"/>
        </w:rPr>
        <w:t xml:space="preserve">15. O interesse público existirá, nos termos do art. 3º da Portaria SECEX nº 8, de 2019, quando o impacto da imposição da medida antidumping sobre os agentes econômicos como um todo se mostrar potencialmente mais danoso, se comparado aos efeitos positivos da aplicação da medida de defesa comercial. </w:t>
      </w:r>
    </w:p>
    <w:p w14:paraId="23DD6628" w14:textId="77777777" w:rsidR="00C86DB8" w:rsidRDefault="00C86DB8" w:rsidP="00C209A6">
      <w:pPr>
        <w:shd w:val="clear" w:color="auto" w:fill="FFFFFF"/>
        <w:spacing w:after="0" w:line="240" w:lineRule="auto"/>
        <w:rPr>
          <w:sz w:val="22"/>
          <w:szCs w:val="22"/>
        </w:rPr>
      </w:pPr>
    </w:p>
    <w:p w14:paraId="6F6F527F" w14:textId="77777777" w:rsidR="00C86DB8" w:rsidRDefault="00354B19" w:rsidP="00C209A6">
      <w:pPr>
        <w:shd w:val="clear" w:color="auto" w:fill="FFFFFF"/>
        <w:spacing w:after="0" w:line="240" w:lineRule="auto"/>
        <w:rPr>
          <w:sz w:val="22"/>
          <w:szCs w:val="22"/>
        </w:rPr>
      </w:pPr>
      <w:r w:rsidRPr="00C209A6">
        <w:rPr>
          <w:sz w:val="22"/>
          <w:szCs w:val="22"/>
        </w:rPr>
        <w:lastRenderedPageBreak/>
        <w:t xml:space="preserve">16. Os questionários de interesse público estão disponíveis no endereço eletrônico http://www.mdic.gov.br/index.php/comercio-exterior/defesa-comercial/306- interesse-publico/3888-questionario-de-interesse-publico e deverão ser protocolados no Sistema Eletrônico de Informações do Ministério da Economia - SEI/ME ou entregues em mídia eletrônica no protocolo da SDCOM, observados os termos dispostos na Portaria SECEX nº 8, de 2019. </w:t>
      </w:r>
    </w:p>
    <w:p w14:paraId="137F1E1D" w14:textId="77777777" w:rsidR="00C86DB8" w:rsidRDefault="00C86DB8" w:rsidP="00C209A6">
      <w:pPr>
        <w:shd w:val="clear" w:color="auto" w:fill="FFFFFF"/>
        <w:spacing w:after="0" w:line="240" w:lineRule="auto"/>
        <w:rPr>
          <w:sz w:val="22"/>
          <w:szCs w:val="22"/>
        </w:rPr>
      </w:pPr>
    </w:p>
    <w:p w14:paraId="4FF60355" w14:textId="02DE448D" w:rsidR="00354B19" w:rsidRDefault="00354B19" w:rsidP="00C209A6">
      <w:pPr>
        <w:shd w:val="clear" w:color="auto" w:fill="FFFFFF"/>
        <w:spacing w:after="0" w:line="240" w:lineRule="auto"/>
        <w:rPr>
          <w:sz w:val="22"/>
          <w:szCs w:val="22"/>
        </w:rPr>
      </w:pPr>
      <w:r w:rsidRPr="00C209A6">
        <w:rPr>
          <w:sz w:val="22"/>
          <w:szCs w:val="22"/>
        </w:rPr>
        <w:t xml:space="preserve">17. Esclarecimentos adicionais podem ser obtidos pelo telefone +55 61 2027- 7770 ou pelo endereço eletrônico decom@mdic.gov.br. HERLON ALVES BRANDÃO </w:t>
      </w:r>
    </w:p>
    <w:p w14:paraId="23F87598" w14:textId="0DC40DAF" w:rsidR="00C86DB8" w:rsidRDefault="00C86DB8" w:rsidP="00C209A6">
      <w:pPr>
        <w:shd w:val="clear" w:color="auto" w:fill="FFFFFF"/>
        <w:spacing w:after="0" w:line="240" w:lineRule="auto"/>
        <w:rPr>
          <w:sz w:val="22"/>
          <w:szCs w:val="22"/>
        </w:rPr>
      </w:pPr>
    </w:p>
    <w:p w14:paraId="354DA54D" w14:textId="7ECB53AF" w:rsidR="00C86DB8" w:rsidRDefault="00C86DB8" w:rsidP="00C209A6">
      <w:pPr>
        <w:shd w:val="clear" w:color="auto" w:fill="FFFFFF"/>
        <w:spacing w:after="0" w:line="240" w:lineRule="auto"/>
        <w:rPr>
          <w:sz w:val="22"/>
          <w:szCs w:val="22"/>
        </w:rPr>
      </w:pPr>
    </w:p>
    <w:p w14:paraId="5956632C" w14:textId="77777777" w:rsidR="00C86DB8" w:rsidRPr="00C209A6" w:rsidRDefault="00C86DB8" w:rsidP="00C209A6">
      <w:pPr>
        <w:shd w:val="clear" w:color="auto" w:fill="FFFFFF"/>
        <w:spacing w:after="0" w:line="240" w:lineRule="auto"/>
        <w:rPr>
          <w:sz w:val="22"/>
          <w:szCs w:val="22"/>
        </w:rPr>
      </w:pPr>
    </w:p>
    <w:p w14:paraId="37A4EB65" w14:textId="4BD55A1D" w:rsidR="0054203B" w:rsidRDefault="0054203B" w:rsidP="00C209A6">
      <w:pPr>
        <w:shd w:val="clear" w:color="auto" w:fill="FFFFFF"/>
        <w:spacing w:after="0" w:line="240" w:lineRule="auto"/>
        <w:rPr>
          <w:sz w:val="22"/>
          <w:szCs w:val="22"/>
        </w:rPr>
      </w:pPr>
    </w:p>
    <w:p w14:paraId="52EED6BD" w14:textId="2FB0E016" w:rsidR="002F79BB" w:rsidRDefault="002F79BB" w:rsidP="00C209A6">
      <w:pPr>
        <w:shd w:val="clear" w:color="auto" w:fill="FFFFFF"/>
        <w:spacing w:after="0" w:line="240" w:lineRule="auto"/>
        <w:rPr>
          <w:sz w:val="22"/>
          <w:szCs w:val="22"/>
        </w:rPr>
      </w:pPr>
    </w:p>
    <w:p w14:paraId="2F917426" w14:textId="77777777" w:rsidR="002F79BB" w:rsidRPr="00C209A6" w:rsidRDefault="002F79BB" w:rsidP="00C209A6">
      <w:pPr>
        <w:shd w:val="clear" w:color="auto" w:fill="FFFFFF"/>
        <w:spacing w:after="0" w:line="240" w:lineRule="auto"/>
        <w:rPr>
          <w:sz w:val="22"/>
          <w:szCs w:val="22"/>
        </w:rPr>
      </w:pPr>
    </w:p>
    <w:p w14:paraId="15C7F109" w14:textId="2DB29715" w:rsidR="002F79BB" w:rsidRPr="002F79BB" w:rsidRDefault="0054203B" w:rsidP="002F79BB">
      <w:pPr>
        <w:shd w:val="clear" w:color="auto" w:fill="FFFFFF"/>
        <w:tabs>
          <w:tab w:val="left" w:pos="2410"/>
        </w:tabs>
        <w:spacing w:after="0" w:line="240" w:lineRule="auto"/>
        <w:jc w:val="center"/>
        <w:rPr>
          <w:b/>
          <w:bCs/>
          <w:sz w:val="22"/>
          <w:szCs w:val="22"/>
        </w:rPr>
      </w:pPr>
      <w:r w:rsidRPr="002F79BB">
        <w:rPr>
          <w:b/>
          <w:bCs/>
          <w:sz w:val="22"/>
          <w:szCs w:val="22"/>
        </w:rPr>
        <w:t>CIRCULAR</w:t>
      </w:r>
      <w:r w:rsidR="002F79BB" w:rsidRPr="002F79BB">
        <w:rPr>
          <w:b/>
          <w:bCs/>
          <w:sz w:val="22"/>
          <w:szCs w:val="22"/>
        </w:rPr>
        <w:t xml:space="preserve"> SECEX</w:t>
      </w:r>
      <w:r w:rsidRPr="002F79BB">
        <w:rPr>
          <w:b/>
          <w:bCs/>
          <w:sz w:val="22"/>
          <w:szCs w:val="22"/>
        </w:rPr>
        <w:t xml:space="preserve"> Nº 41, DE 2 DE JULHO DE 2019 (DOU 03/7/2019)</w:t>
      </w:r>
    </w:p>
    <w:p w14:paraId="0D310C53" w14:textId="77777777" w:rsidR="002F79BB" w:rsidRDefault="002F79BB" w:rsidP="00C209A6">
      <w:pPr>
        <w:shd w:val="clear" w:color="auto" w:fill="FFFFFF"/>
        <w:spacing w:after="0" w:line="240" w:lineRule="auto"/>
        <w:rPr>
          <w:sz w:val="22"/>
          <w:szCs w:val="22"/>
        </w:rPr>
      </w:pPr>
    </w:p>
    <w:p w14:paraId="316B1710" w14:textId="77777777" w:rsidR="002F79BB" w:rsidRDefault="0054203B" w:rsidP="00C209A6">
      <w:pPr>
        <w:shd w:val="clear" w:color="auto" w:fill="FFFFFF"/>
        <w:spacing w:after="0" w:line="240" w:lineRule="auto"/>
        <w:rPr>
          <w:sz w:val="22"/>
          <w:szCs w:val="22"/>
        </w:rPr>
      </w:pPr>
      <w:r w:rsidRPr="00C209A6">
        <w:rPr>
          <w:sz w:val="22"/>
          <w:szCs w:val="22"/>
        </w:rPr>
        <w:t xml:space="preserve">O SECRETÁRIO DE COMÉRCIO EXTERIOR DA SECRETARIA ESPECIAL DE COMÉRCIO EXTERIOR E ASSUNTOS INTERNACIONAIS DO MINISTÉRIO DA ECONOMIA,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bem como no Decreto no 9.745, de 8 de abril de 2019, especialmente o previsto no art. 91, e tendo em vista o constante no Processo MDIC/SECEX 52272.002151/2018-33, decide: </w:t>
      </w:r>
    </w:p>
    <w:p w14:paraId="37AF9AA3" w14:textId="77777777" w:rsidR="002F79BB" w:rsidRDefault="002F79BB" w:rsidP="00C209A6">
      <w:pPr>
        <w:shd w:val="clear" w:color="auto" w:fill="FFFFFF"/>
        <w:spacing w:after="0" w:line="240" w:lineRule="auto"/>
        <w:rPr>
          <w:sz w:val="22"/>
          <w:szCs w:val="22"/>
        </w:rPr>
      </w:pPr>
    </w:p>
    <w:p w14:paraId="40F83F50" w14:textId="77777777" w:rsidR="002F79BB" w:rsidRDefault="0054203B" w:rsidP="00C209A6">
      <w:pPr>
        <w:shd w:val="clear" w:color="auto" w:fill="FFFFFF"/>
        <w:spacing w:after="0" w:line="240" w:lineRule="auto"/>
        <w:rPr>
          <w:sz w:val="22"/>
          <w:szCs w:val="22"/>
        </w:rPr>
      </w:pPr>
      <w:r w:rsidRPr="00C209A6">
        <w:rPr>
          <w:sz w:val="22"/>
          <w:szCs w:val="22"/>
        </w:rPr>
        <w:t xml:space="preserve">1. Tornar públicos os prazos a que fazem referência os artigos 55 e 59 a 63 do Decreto no 8.058, de 2013: . Disposição legal Decreto no 8.058/2013 Prazos Datas previstas . </w:t>
      </w:r>
    </w:p>
    <w:p w14:paraId="725F0D16" w14:textId="77777777" w:rsidR="002F79BB" w:rsidRDefault="002F79BB" w:rsidP="00C209A6">
      <w:pPr>
        <w:shd w:val="clear" w:color="auto" w:fill="FFFFFF"/>
        <w:spacing w:after="0" w:line="240" w:lineRule="auto"/>
        <w:rPr>
          <w:sz w:val="22"/>
          <w:szCs w:val="22"/>
        </w:rPr>
      </w:pPr>
    </w:p>
    <w:p w14:paraId="03B98380" w14:textId="77777777" w:rsidR="002F79BB" w:rsidRDefault="0054203B" w:rsidP="00C209A6">
      <w:pPr>
        <w:shd w:val="clear" w:color="auto" w:fill="FFFFFF"/>
        <w:spacing w:after="0" w:line="240" w:lineRule="auto"/>
        <w:rPr>
          <w:sz w:val="22"/>
          <w:szCs w:val="22"/>
        </w:rPr>
      </w:pPr>
      <w:r w:rsidRPr="00C209A6">
        <w:rPr>
          <w:sz w:val="22"/>
          <w:szCs w:val="22"/>
        </w:rPr>
        <w:t xml:space="preserve">Art. 55 Audiência com partes interessadas. 23/07/2019 . </w:t>
      </w:r>
    </w:p>
    <w:p w14:paraId="51523791" w14:textId="77777777" w:rsidR="002F79BB" w:rsidRDefault="0054203B" w:rsidP="00C209A6">
      <w:pPr>
        <w:shd w:val="clear" w:color="auto" w:fill="FFFFFF"/>
        <w:spacing w:after="0" w:line="240" w:lineRule="auto"/>
        <w:rPr>
          <w:sz w:val="22"/>
          <w:szCs w:val="22"/>
        </w:rPr>
      </w:pPr>
      <w:r w:rsidRPr="00C209A6">
        <w:rPr>
          <w:sz w:val="22"/>
          <w:szCs w:val="22"/>
        </w:rPr>
        <w:t xml:space="preserve">Art. 59 Encerramento da fase probatória da revisão. 12/08/2019 . </w:t>
      </w:r>
    </w:p>
    <w:p w14:paraId="31236659" w14:textId="77777777" w:rsidR="002F79BB" w:rsidRDefault="0054203B" w:rsidP="00C209A6">
      <w:pPr>
        <w:shd w:val="clear" w:color="auto" w:fill="FFFFFF"/>
        <w:spacing w:after="0" w:line="240" w:lineRule="auto"/>
        <w:rPr>
          <w:sz w:val="22"/>
          <w:szCs w:val="22"/>
        </w:rPr>
      </w:pPr>
      <w:r w:rsidRPr="00C209A6">
        <w:rPr>
          <w:sz w:val="22"/>
          <w:szCs w:val="22"/>
        </w:rPr>
        <w:t xml:space="preserve">Art. 60 Encerramento da fase de manifestação sobre os dados e as informações constantes dos autos. 02/09/2019 . </w:t>
      </w:r>
    </w:p>
    <w:p w14:paraId="2329E533" w14:textId="77777777" w:rsidR="002F79BB" w:rsidRDefault="0054203B" w:rsidP="00C209A6">
      <w:pPr>
        <w:shd w:val="clear" w:color="auto" w:fill="FFFFFF"/>
        <w:spacing w:after="0" w:line="240" w:lineRule="auto"/>
        <w:rPr>
          <w:sz w:val="22"/>
          <w:szCs w:val="22"/>
        </w:rPr>
      </w:pPr>
      <w:r w:rsidRPr="00C209A6">
        <w:rPr>
          <w:sz w:val="22"/>
          <w:szCs w:val="22"/>
        </w:rPr>
        <w:t xml:space="preserve">Art. 61 Divulgação da nota técnica contendo os fatos essenciais que se encontram em análise e que serão considerados na determinação final. 24/09/2019 . </w:t>
      </w:r>
    </w:p>
    <w:p w14:paraId="5E1D1E83" w14:textId="77777777" w:rsidR="002F79BB" w:rsidRDefault="0054203B" w:rsidP="00C209A6">
      <w:pPr>
        <w:shd w:val="clear" w:color="auto" w:fill="FFFFFF"/>
        <w:spacing w:after="0" w:line="240" w:lineRule="auto"/>
        <w:rPr>
          <w:sz w:val="22"/>
          <w:szCs w:val="22"/>
        </w:rPr>
      </w:pPr>
      <w:r w:rsidRPr="00C209A6">
        <w:rPr>
          <w:sz w:val="22"/>
          <w:szCs w:val="22"/>
        </w:rPr>
        <w:t xml:space="preserve">Art. 62 Encerramento do prazo para apresentação das manifestações finais pelas partes interessadas e Encerramento da fase de instrução do processo. 14/10/2019 . </w:t>
      </w:r>
    </w:p>
    <w:p w14:paraId="11D7A07A" w14:textId="77777777" w:rsidR="002F79BB" w:rsidRDefault="0054203B" w:rsidP="00C209A6">
      <w:pPr>
        <w:shd w:val="clear" w:color="auto" w:fill="FFFFFF"/>
        <w:spacing w:after="0" w:line="240" w:lineRule="auto"/>
        <w:rPr>
          <w:sz w:val="22"/>
          <w:szCs w:val="22"/>
        </w:rPr>
      </w:pPr>
      <w:r w:rsidRPr="00C209A6">
        <w:rPr>
          <w:sz w:val="22"/>
          <w:szCs w:val="22"/>
        </w:rPr>
        <w:t xml:space="preserve">Art. 63 Expedição, pela SDCOM, do parecer de determinação final. 01/11/2019 </w:t>
      </w:r>
    </w:p>
    <w:p w14:paraId="6289E3C2" w14:textId="1E2879DC" w:rsidR="0054203B" w:rsidRPr="00C209A6" w:rsidRDefault="0054203B" w:rsidP="00C209A6">
      <w:pPr>
        <w:shd w:val="clear" w:color="auto" w:fill="FFFFFF"/>
        <w:spacing w:after="0" w:line="240" w:lineRule="auto"/>
        <w:rPr>
          <w:b/>
          <w:sz w:val="22"/>
          <w:szCs w:val="22"/>
        </w:rPr>
      </w:pPr>
      <w:r w:rsidRPr="00C209A6">
        <w:rPr>
          <w:sz w:val="22"/>
          <w:szCs w:val="22"/>
        </w:rPr>
        <w:t>LUCAS FERRAZ</w:t>
      </w:r>
    </w:p>
    <w:p w14:paraId="31E9CBFB" w14:textId="304D8996" w:rsidR="00624BD0" w:rsidRPr="00C209A6" w:rsidRDefault="00624BD0" w:rsidP="00C209A6">
      <w:pPr>
        <w:shd w:val="clear" w:color="auto" w:fill="FFFFFF"/>
        <w:spacing w:after="0" w:line="240" w:lineRule="auto"/>
        <w:rPr>
          <w:b/>
          <w:sz w:val="22"/>
          <w:szCs w:val="22"/>
        </w:rPr>
      </w:pPr>
    </w:p>
    <w:p w14:paraId="49482357" w14:textId="0CFF2A46" w:rsidR="002F79BB" w:rsidRDefault="00446CD3" w:rsidP="00453E3E">
      <w:pPr>
        <w:pStyle w:val="NormalWeb"/>
        <w:shd w:val="clear" w:color="auto" w:fill="FFFFFF"/>
        <w:spacing w:before="0" w:beforeAutospacing="0" w:after="0" w:afterAutospacing="0" w:line="420" w:lineRule="atLeast"/>
        <w:textAlignment w:val="baseline"/>
        <w:rPr>
          <w:rFonts w:cs="Arial"/>
          <w:color w:val="666666"/>
          <w:sz w:val="22"/>
          <w:szCs w:val="22"/>
        </w:rPr>
      </w:pPr>
      <w:r>
        <w:rPr>
          <w:rFonts w:ascii="Arial" w:hAnsi="Arial" w:cs="Arial"/>
          <w:color w:val="000000"/>
          <w:sz w:val="21"/>
          <w:szCs w:val="21"/>
        </w:rPr>
        <w:t> </w:t>
      </w:r>
    </w:p>
    <w:p w14:paraId="3447525D" w14:textId="77777777" w:rsidR="002F79BB" w:rsidRDefault="002F79BB" w:rsidP="00C209A6">
      <w:pPr>
        <w:shd w:val="clear" w:color="auto" w:fill="FFFFFF"/>
        <w:spacing w:before="30" w:after="45" w:line="240" w:lineRule="auto"/>
        <w:rPr>
          <w:rFonts w:eastAsia="Times New Roman" w:cs="Arial"/>
          <w:color w:val="666666"/>
          <w:sz w:val="22"/>
          <w:szCs w:val="22"/>
          <w:lang w:eastAsia="pt-BR"/>
        </w:rPr>
      </w:pPr>
    </w:p>
    <w:p w14:paraId="0E04A971" w14:textId="7AC0F886" w:rsidR="005B77A4" w:rsidRPr="00C209A6" w:rsidRDefault="005B77A4" w:rsidP="00C209A6">
      <w:pPr>
        <w:shd w:val="clear" w:color="auto" w:fill="FFFFFF"/>
        <w:spacing w:before="450" w:after="450" w:line="240" w:lineRule="auto"/>
        <w:rPr>
          <w:rFonts w:eastAsia="Times New Roman" w:cs="Arial"/>
          <w:b/>
          <w:bCs/>
          <w:caps/>
          <w:color w:val="162937"/>
          <w:sz w:val="22"/>
          <w:szCs w:val="22"/>
          <w:lang w:eastAsia="pt-BR"/>
        </w:rPr>
      </w:pPr>
      <w:r w:rsidRPr="00C209A6">
        <w:rPr>
          <w:rFonts w:eastAsia="Times New Roman" w:cs="Arial"/>
          <w:b/>
          <w:bCs/>
          <w:caps/>
          <w:color w:val="162937"/>
          <w:sz w:val="22"/>
          <w:szCs w:val="22"/>
          <w:lang w:eastAsia="pt-BR"/>
        </w:rPr>
        <w:t>PORTARIA Nº 473, DE 28 DE JUNHO DE 2019</w:t>
      </w:r>
      <w:r w:rsidR="00453E3E">
        <w:rPr>
          <w:rFonts w:eastAsia="Times New Roman" w:cs="Arial"/>
          <w:b/>
          <w:bCs/>
          <w:caps/>
          <w:color w:val="162937"/>
          <w:sz w:val="22"/>
          <w:szCs w:val="22"/>
          <w:lang w:eastAsia="pt-BR"/>
        </w:rPr>
        <w:t xml:space="preserve"> (DOU 01/7/2019)</w:t>
      </w:r>
    </w:p>
    <w:p w14:paraId="63E517EF" w14:textId="77777777" w:rsidR="005B77A4" w:rsidRPr="00C209A6" w:rsidRDefault="005B77A4" w:rsidP="00C209A6">
      <w:pPr>
        <w:shd w:val="clear" w:color="auto" w:fill="FFFFFF"/>
        <w:spacing w:after="450" w:line="240" w:lineRule="auto"/>
        <w:ind w:left="5400"/>
        <w:rPr>
          <w:rFonts w:eastAsia="Times New Roman" w:cs="Arial"/>
          <w:color w:val="162937"/>
          <w:sz w:val="22"/>
          <w:szCs w:val="22"/>
          <w:lang w:eastAsia="pt-BR"/>
        </w:rPr>
      </w:pPr>
      <w:r w:rsidRPr="00C209A6">
        <w:rPr>
          <w:rFonts w:eastAsia="Times New Roman" w:cs="Arial"/>
          <w:color w:val="162937"/>
          <w:sz w:val="22"/>
          <w:szCs w:val="22"/>
          <w:lang w:eastAsia="pt-BR"/>
        </w:rPr>
        <w:t xml:space="preserve">Aplicar direito antidumping definitivo, por um prazo de até 5 (cinco) anos, às importações brasileiras de filmes PET, originárias do Bareine e do Peru e encerrar avaliação de interesse </w:t>
      </w:r>
      <w:r w:rsidRPr="00C209A6">
        <w:rPr>
          <w:rFonts w:eastAsia="Times New Roman" w:cs="Arial"/>
          <w:color w:val="162937"/>
          <w:sz w:val="22"/>
          <w:szCs w:val="22"/>
          <w:lang w:eastAsia="pt-BR"/>
        </w:rPr>
        <w:lastRenderedPageBreak/>
        <w:t>público sem suspensão da aplicação dos direitos antidumping aplicados sobre as importações do mesmo produto e origens.</w:t>
      </w:r>
    </w:p>
    <w:p w14:paraId="66D41B64"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A SECRETÁRIA ESPECIAL DE COMÉRCIO EXTERIOR E ASSUNTOS INTERNACIONAIS SUBSTITUTA DO MINISTÉRIO DA ECONOMIA, no uso das atribuições que lhe confere o art. 82, inciso V do Anexo I do Decreto nº 9.745, de 8 de abril de 2019, e considerando o que consta dos autos do Processo SECEX 52272.001240/2017-81, conduzido em conformidade com o disposto no Decreto nº 8.058, de 26 de julho de 2013, e dos autos do Processo SEI 12120.101636/2018-28, conduzido de acordo com os procedimentos previstos na Resolução CAMEX nº 29, de 7 de abril de 2017, resolve:</w:t>
      </w:r>
    </w:p>
    <w:p w14:paraId="722BB6EC" w14:textId="77777777" w:rsidR="005B77A4" w:rsidRPr="00C209A6" w:rsidRDefault="005B77A4" w:rsidP="00C209A6">
      <w:pPr>
        <w:shd w:val="clear" w:color="auto" w:fill="FFFFFF"/>
        <w:spacing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Art. 1º Encerrar a investigação com aplicação de direito antidumping definitivo, por um prazo de até 5 (cinco) anos, às importações brasileiras de filmes PET, comumente classificados nos itens 3920.62.19, 3920.62.91, 3920.62.99 da Nomenclatura Comum do MERCOSUL - NCM, originárias do Bareine e do Peru, a ser recolhido sob a forma de alíquota específica fixada em dólares estadunidenses por tonelada, nos montantes abaixo especificados, nos termos do Anexo I:</w:t>
      </w:r>
    </w:p>
    <w:tbl>
      <w:tblPr>
        <w:tblW w:w="0" w:type="auto"/>
        <w:tblCellMar>
          <w:top w:w="15" w:type="dxa"/>
          <w:left w:w="15" w:type="dxa"/>
          <w:bottom w:w="15" w:type="dxa"/>
          <w:right w:w="15" w:type="dxa"/>
        </w:tblCellMar>
        <w:tblLook w:val="04A0" w:firstRow="1" w:lastRow="0" w:firstColumn="1" w:lastColumn="0" w:noHBand="0" w:noVBand="1"/>
      </w:tblPr>
      <w:tblGrid>
        <w:gridCol w:w="777"/>
        <w:gridCol w:w="1978"/>
        <w:gridCol w:w="3860"/>
      </w:tblGrid>
      <w:tr w:rsidR="005B77A4" w:rsidRPr="00C209A6" w14:paraId="5C4F02CC" w14:textId="77777777" w:rsidTr="005B77A4">
        <w:trPr>
          <w:gridAfter w:val="2"/>
        </w:trPr>
        <w:tc>
          <w:tcPr>
            <w:tcW w:w="0" w:type="auto"/>
            <w:vAlign w:val="center"/>
            <w:hideMark/>
          </w:tcPr>
          <w:p w14:paraId="121575A5" w14:textId="77777777" w:rsidR="005B77A4" w:rsidRPr="00C209A6" w:rsidRDefault="005B77A4" w:rsidP="00C209A6">
            <w:pPr>
              <w:spacing w:after="0" w:line="240" w:lineRule="auto"/>
              <w:rPr>
                <w:rFonts w:eastAsia="Times New Roman" w:cs="Arial"/>
                <w:color w:val="162937"/>
                <w:sz w:val="22"/>
                <w:szCs w:val="22"/>
                <w:lang w:eastAsia="pt-BR"/>
              </w:rPr>
            </w:pPr>
          </w:p>
        </w:tc>
      </w:tr>
      <w:tr w:rsidR="005B77A4" w:rsidRPr="00C209A6" w14:paraId="5476D56B" w14:textId="77777777" w:rsidTr="005B77A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2B2D5D"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784026"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Produtor/Exportador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41B2D7"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Direito Antidumping Definitivo (em US$/t)</w:t>
            </w:r>
          </w:p>
        </w:tc>
      </w:tr>
      <w:tr w:rsidR="005B77A4" w:rsidRPr="00C209A6" w14:paraId="4FC30699" w14:textId="77777777" w:rsidTr="005B77A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E6589D"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Bareine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E26AB5"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JBF Bahrain S.P.C.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247C57"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480,15</w:t>
            </w:r>
          </w:p>
        </w:tc>
      </w:tr>
      <w:tr w:rsidR="005B77A4" w:rsidRPr="00C209A6" w14:paraId="04349DCB" w14:textId="77777777" w:rsidTr="005B77A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E0F221" w14:textId="77777777" w:rsidR="005B77A4" w:rsidRPr="00C209A6" w:rsidRDefault="005B77A4" w:rsidP="00C209A6">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B58798"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Demais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1FC77B"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480,15</w:t>
            </w:r>
          </w:p>
        </w:tc>
      </w:tr>
      <w:tr w:rsidR="005B77A4" w:rsidRPr="00C209A6" w14:paraId="0674AA65" w14:textId="77777777" w:rsidTr="005B77A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961BA2"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Peru</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AEFA1C"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OPP Film 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DB926"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123,20</w:t>
            </w:r>
          </w:p>
        </w:tc>
      </w:tr>
      <w:tr w:rsidR="005B77A4" w:rsidRPr="00C209A6" w14:paraId="0DAE1BD1" w14:textId="77777777" w:rsidTr="005B77A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B99206" w14:textId="77777777" w:rsidR="005B77A4" w:rsidRPr="00C209A6" w:rsidRDefault="005B77A4" w:rsidP="00C209A6">
            <w:pPr>
              <w:spacing w:after="0" w:line="240" w:lineRule="auto"/>
              <w:rPr>
                <w:rFonts w:eastAsia="Times New Roman" w:cs="Times New Roman"/>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23C5E6"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Demais empresas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6BDA9A" w14:textId="77777777" w:rsidR="005B77A4" w:rsidRPr="00C209A6" w:rsidRDefault="005B77A4" w:rsidP="00C209A6">
            <w:pPr>
              <w:spacing w:after="0" w:line="240" w:lineRule="auto"/>
              <w:rPr>
                <w:rFonts w:eastAsia="Times New Roman" w:cs="Times New Roman"/>
                <w:sz w:val="22"/>
                <w:szCs w:val="22"/>
                <w:lang w:eastAsia="pt-BR"/>
              </w:rPr>
            </w:pPr>
            <w:r w:rsidRPr="00C209A6">
              <w:rPr>
                <w:rFonts w:eastAsia="Times New Roman" w:cs="Times New Roman"/>
                <w:sz w:val="22"/>
                <w:szCs w:val="22"/>
                <w:lang w:eastAsia="pt-BR"/>
              </w:rPr>
              <w:t>123,20</w:t>
            </w:r>
          </w:p>
        </w:tc>
      </w:tr>
    </w:tbl>
    <w:p w14:paraId="6B6DDA8B"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Art. 2º O disposto no art. 1onão se aplica a:</w:t>
      </w:r>
    </w:p>
    <w:p w14:paraId="7065FA7C"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a) filmes de PET com espessura inferior a 5μm e superior a 50μm e, portanto, fora da faixa especificada;</w:t>
      </w:r>
    </w:p>
    <w:p w14:paraId="134747C8"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b) películas fumê automotiva;</w:t>
      </w:r>
    </w:p>
    <w:p w14:paraId="30998A51"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c) filmes de acetato de celulose;</w:t>
      </w:r>
    </w:p>
    <w:p w14:paraId="0D5C03EB"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d) filmes de poliéster com silicone;</w:t>
      </w:r>
    </w:p>
    <w:p w14:paraId="1E0F1495"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e) rolos para painéis de assinatura;</w:t>
      </w:r>
    </w:p>
    <w:p w14:paraId="4395532C"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f) filtros para iluminação;</w:t>
      </w:r>
    </w:p>
    <w:p w14:paraId="52A49DEB"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g) telas, filmes, cabos de PVC;</w:t>
      </w:r>
    </w:p>
    <w:p w14:paraId="104B1F89"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h) filmes, chapas, placas de copoliéster PETG;</w:t>
      </w:r>
    </w:p>
    <w:p w14:paraId="2D05721C"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i) filmes, películas, etiquetas e chapas de policarbonato;</w:t>
      </w:r>
    </w:p>
    <w:p w14:paraId="44F75D82"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j) folhas esponjadas de politereftalato de etileno;</w:t>
      </w:r>
    </w:p>
    <w:p w14:paraId="60CB2D0D"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k) placas de polimetacrilato de metila;</w:t>
      </w:r>
    </w:p>
    <w:p w14:paraId="6D8C29FB"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l) etiquetas de poliéster;</w:t>
      </w:r>
    </w:p>
    <w:p w14:paraId="35336F5B"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m) lâminas e folhas de tinteiro;</w:t>
      </w:r>
    </w:p>
    <w:p w14:paraId="1143C290"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n) telas de reforço de poliéster;</w:t>
      </w:r>
    </w:p>
    <w:p w14:paraId="6F8BD33E"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lastRenderedPageBreak/>
        <w:t>o) filmes e fios de poliéster microimpressos;</w:t>
      </w:r>
    </w:p>
    <w:p w14:paraId="6233F5EC"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p) filmes de poliéster magnetizados;</w:t>
      </w:r>
    </w:p>
    <w:p w14:paraId="7E6E3712"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q) fitas para unitização de carga;</w:t>
      </w:r>
    </w:p>
    <w:p w14:paraId="6543B3A9"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r) filmes de PET já processados para outros fins (produto acabado);</w:t>
      </w:r>
    </w:p>
    <w:p w14:paraId="715039A0"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s) filmes "tracing and drafting";</w:t>
      </w:r>
    </w:p>
    <w:p w14:paraId="2DBFAA29"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t) filmes "transfer metalized; e</w:t>
      </w:r>
    </w:p>
    <w:p w14:paraId="2CEFA443"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u) filmes de PET com coating de EVA e os filmes de PET com coating de PE.</w:t>
      </w:r>
    </w:p>
    <w:p w14:paraId="007D6F1E"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Art. 3oEncerrar a avaliação de interesse público instaurada por meio da Resolução CAMEX no88, de 29 de novembro de 2018, sem a suspensão dos direitos antidumping definitivos aplicados sobre as importações brasileiras de filmes PET, comumente classificados nos subitens 3920.62.19, 3920.62.91, 3920.62.99 da Nomenclatura Comum do MERCOSUL - NCM, originárias do Bareine e do Peru, por meio desta Portaria, nos termos do Anexo II.</w:t>
      </w:r>
    </w:p>
    <w:p w14:paraId="671C7E07"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Art. 4º Tornar públicos os fatos que justificaram as decisões contidas nos arts. 1º e 2º, conforme consta dos Anexos I e II respectivamente.</w:t>
      </w:r>
    </w:p>
    <w:p w14:paraId="4B1BD239" w14:textId="77777777" w:rsidR="005B77A4" w:rsidRPr="00C209A6" w:rsidRDefault="005B77A4" w:rsidP="00C209A6">
      <w:pPr>
        <w:shd w:val="clear" w:color="auto" w:fill="FFFFFF"/>
        <w:spacing w:after="150" w:line="240" w:lineRule="auto"/>
        <w:ind w:firstLine="1200"/>
        <w:rPr>
          <w:rFonts w:eastAsia="Times New Roman" w:cs="Arial"/>
          <w:color w:val="162937"/>
          <w:sz w:val="22"/>
          <w:szCs w:val="22"/>
          <w:lang w:eastAsia="pt-BR"/>
        </w:rPr>
      </w:pPr>
      <w:r w:rsidRPr="00C209A6">
        <w:rPr>
          <w:rFonts w:eastAsia="Times New Roman" w:cs="Arial"/>
          <w:color w:val="162937"/>
          <w:sz w:val="22"/>
          <w:szCs w:val="22"/>
          <w:lang w:eastAsia="pt-BR"/>
        </w:rPr>
        <w:t>Art. 5oEsta Portaria entra em vigor na data de sua publicação no Diário Oficial da União.</w:t>
      </w:r>
    </w:p>
    <w:p w14:paraId="055CA76F" w14:textId="77777777" w:rsidR="005B77A4" w:rsidRPr="00C209A6" w:rsidRDefault="005B77A4" w:rsidP="00C209A6">
      <w:pPr>
        <w:shd w:val="clear" w:color="auto" w:fill="FFFFFF"/>
        <w:spacing w:before="300" w:after="0" w:line="240" w:lineRule="auto"/>
        <w:rPr>
          <w:rFonts w:eastAsia="Times New Roman" w:cs="Arial"/>
          <w:b/>
          <w:bCs/>
          <w:caps/>
          <w:color w:val="162937"/>
          <w:sz w:val="22"/>
          <w:szCs w:val="22"/>
          <w:lang w:eastAsia="pt-BR"/>
        </w:rPr>
      </w:pPr>
      <w:r w:rsidRPr="00C209A6">
        <w:rPr>
          <w:rFonts w:eastAsia="Times New Roman" w:cs="Arial"/>
          <w:b/>
          <w:bCs/>
          <w:caps/>
          <w:color w:val="162937"/>
          <w:sz w:val="22"/>
          <w:szCs w:val="22"/>
          <w:lang w:eastAsia="pt-BR"/>
        </w:rPr>
        <w:t>YANA DUMARESQ SOBRAL ALVES</w:t>
      </w:r>
    </w:p>
    <w:sectPr w:rsidR="005B77A4" w:rsidRPr="00C209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0FE8"/>
    <w:rsid w:val="00051C64"/>
    <w:rsid w:val="0005406E"/>
    <w:rsid w:val="00055A7A"/>
    <w:rsid w:val="00056318"/>
    <w:rsid w:val="00057189"/>
    <w:rsid w:val="0006113C"/>
    <w:rsid w:val="000612AA"/>
    <w:rsid w:val="00062AF3"/>
    <w:rsid w:val="00064952"/>
    <w:rsid w:val="00065F14"/>
    <w:rsid w:val="00066C2B"/>
    <w:rsid w:val="00066D09"/>
    <w:rsid w:val="000700B0"/>
    <w:rsid w:val="00071655"/>
    <w:rsid w:val="00071B36"/>
    <w:rsid w:val="00072BFC"/>
    <w:rsid w:val="00072C60"/>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067"/>
    <w:rsid w:val="000D580C"/>
    <w:rsid w:val="000D5C96"/>
    <w:rsid w:val="000D6D0C"/>
    <w:rsid w:val="000D6E29"/>
    <w:rsid w:val="000E0386"/>
    <w:rsid w:val="000E3531"/>
    <w:rsid w:val="000E4697"/>
    <w:rsid w:val="000E6A1A"/>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15B35"/>
    <w:rsid w:val="001256E1"/>
    <w:rsid w:val="0012579F"/>
    <w:rsid w:val="00126A2E"/>
    <w:rsid w:val="001273E2"/>
    <w:rsid w:val="00131C55"/>
    <w:rsid w:val="0013345C"/>
    <w:rsid w:val="001345E8"/>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3EF2"/>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6FB"/>
    <w:rsid w:val="001A173D"/>
    <w:rsid w:val="001A1A44"/>
    <w:rsid w:val="001A23F9"/>
    <w:rsid w:val="001A3F27"/>
    <w:rsid w:val="001A5011"/>
    <w:rsid w:val="001A7100"/>
    <w:rsid w:val="001A78E0"/>
    <w:rsid w:val="001A7D8A"/>
    <w:rsid w:val="001B1C40"/>
    <w:rsid w:val="001B3842"/>
    <w:rsid w:val="001B54DC"/>
    <w:rsid w:val="001C05A2"/>
    <w:rsid w:val="001C0D9D"/>
    <w:rsid w:val="001C21C1"/>
    <w:rsid w:val="001C5DFB"/>
    <w:rsid w:val="001C6C5C"/>
    <w:rsid w:val="001D1EAD"/>
    <w:rsid w:val="001D7D04"/>
    <w:rsid w:val="001E12B3"/>
    <w:rsid w:val="001E2A8A"/>
    <w:rsid w:val="001E2A98"/>
    <w:rsid w:val="001E3A13"/>
    <w:rsid w:val="001E6DEA"/>
    <w:rsid w:val="001E7FCD"/>
    <w:rsid w:val="001F08A0"/>
    <w:rsid w:val="001F1BB5"/>
    <w:rsid w:val="001F301B"/>
    <w:rsid w:val="001F3093"/>
    <w:rsid w:val="001F5166"/>
    <w:rsid w:val="001F55A3"/>
    <w:rsid w:val="001F58A8"/>
    <w:rsid w:val="001F5CD3"/>
    <w:rsid w:val="001F78CE"/>
    <w:rsid w:val="002003D6"/>
    <w:rsid w:val="00200B20"/>
    <w:rsid w:val="002021C5"/>
    <w:rsid w:val="002024DE"/>
    <w:rsid w:val="002049F8"/>
    <w:rsid w:val="002056CF"/>
    <w:rsid w:val="00207745"/>
    <w:rsid w:val="0021016A"/>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086"/>
    <w:rsid w:val="00266461"/>
    <w:rsid w:val="00266605"/>
    <w:rsid w:val="00267093"/>
    <w:rsid w:val="00267818"/>
    <w:rsid w:val="00270304"/>
    <w:rsid w:val="00270FB8"/>
    <w:rsid w:val="00271D84"/>
    <w:rsid w:val="0027465C"/>
    <w:rsid w:val="00281BC9"/>
    <w:rsid w:val="0028285B"/>
    <w:rsid w:val="0028380A"/>
    <w:rsid w:val="00284274"/>
    <w:rsid w:val="00287275"/>
    <w:rsid w:val="00291EE6"/>
    <w:rsid w:val="00292FEE"/>
    <w:rsid w:val="00293FE3"/>
    <w:rsid w:val="00294F5D"/>
    <w:rsid w:val="0029546B"/>
    <w:rsid w:val="0029677A"/>
    <w:rsid w:val="0029691F"/>
    <w:rsid w:val="002979EA"/>
    <w:rsid w:val="00297A9B"/>
    <w:rsid w:val="00297D57"/>
    <w:rsid w:val="002A08EF"/>
    <w:rsid w:val="002A10E6"/>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429C"/>
    <w:rsid w:val="002C50A9"/>
    <w:rsid w:val="002C5B68"/>
    <w:rsid w:val="002D1078"/>
    <w:rsid w:val="002D3913"/>
    <w:rsid w:val="002D5F13"/>
    <w:rsid w:val="002D64FD"/>
    <w:rsid w:val="002D67F8"/>
    <w:rsid w:val="002D6A1E"/>
    <w:rsid w:val="002D6EFF"/>
    <w:rsid w:val="002D70A2"/>
    <w:rsid w:val="002E5E81"/>
    <w:rsid w:val="002E62A3"/>
    <w:rsid w:val="002E689B"/>
    <w:rsid w:val="002E7552"/>
    <w:rsid w:val="002F2554"/>
    <w:rsid w:val="002F2EEC"/>
    <w:rsid w:val="002F34E6"/>
    <w:rsid w:val="002F4D92"/>
    <w:rsid w:val="002F67A4"/>
    <w:rsid w:val="002F79BB"/>
    <w:rsid w:val="002F7B8E"/>
    <w:rsid w:val="00302910"/>
    <w:rsid w:val="00304E12"/>
    <w:rsid w:val="003055BB"/>
    <w:rsid w:val="00305B60"/>
    <w:rsid w:val="003060BE"/>
    <w:rsid w:val="00306C49"/>
    <w:rsid w:val="00307299"/>
    <w:rsid w:val="00307925"/>
    <w:rsid w:val="00314F03"/>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51E7"/>
    <w:rsid w:val="00335DC5"/>
    <w:rsid w:val="003364BD"/>
    <w:rsid w:val="00341C78"/>
    <w:rsid w:val="00341F22"/>
    <w:rsid w:val="00342EC6"/>
    <w:rsid w:val="00343399"/>
    <w:rsid w:val="00345D97"/>
    <w:rsid w:val="00350FC6"/>
    <w:rsid w:val="003512CC"/>
    <w:rsid w:val="00353108"/>
    <w:rsid w:val="00354B19"/>
    <w:rsid w:val="00355033"/>
    <w:rsid w:val="003576F9"/>
    <w:rsid w:val="00357753"/>
    <w:rsid w:val="00361559"/>
    <w:rsid w:val="00361882"/>
    <w:rsid w:val="00362499"/>
    <w:rsid w:val="003626DE"/>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CA3"/>
    <w:rsid w:val="003A2F68"/>
    <w:rsid w:val="003A318B"/>
    <w:rsid w:val="003A3F1A"/>
    <w:rsid w:val="003A51B9"/>
    <w:rsid w:val="003A571B"/>
    <w:rsid w:val="003A7CA2"/>
    <w:rsid w:val="003A7E3E"/>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2391"/>
    <w:rsid w:val="003F30BD"/>
    <w:rsid w:val="003F54E4"/>
    <w:rsid w:val="003F65B7"/>
    <w:rsid w:val="003F7815"/>
    <w:rsid w:val="00401F8E"/>
    <w:rsid w:val="00403429"/>
    <w:rsid w:val="0040385C"/>
    <w:rsid w:val="0040484E"/>
    <w:rsid w:val="004051C2"/>
    <w:rsid w:val="004117E0"/>
    <w:rsid w:val="00415C6F"/>
    <w:rsid w:val="00415F48"/>
    <w:rsid w:val="0041767B"/>
    <w:rsid w:val="00417F21"/>
    <w:rsid w:val="00420C02"/>
    <w:rsid w:val="00421845"/>
    <w:rsid w:val="00421BAD"/>
    <w:rsid w:val="00421E49"/>
    <w:rsid w:val="00423AA1"/>
    <w:rsid w:val="004241D6"/>
    <w:rsid w:val="004256F6"/>
    <w:rsid w:val="0043403A"/>
    <w:rsid w:val="00434255"/>
    <w:rsid w:val="004346EB"/>
    <w:rsid w:val="00436224"/>
    <w:rsid w:val="00437C96"/>
    <w:rsid w:val="00441C17"/>
    <w:rsid w:val="00441F99"/>
    <w:rsid w:val="00443EDD"/>
    <w:rsid w:val="004441DE"/>
    <w:rsid w:val="0044460A"/>
    <w:rsid w:val="004464EF"/>
    <w:rsid w:val="00446C76"/>
    <w:rsid w:val="00446CD3"/>
    <w:rsid w:val="004507F1"/>
    <w:rsid w:val="00452420"/>
    <w:rsid w:val="00453102"/>
    <w:rsid w:val="004534F8"/>
    <w:rsid w:val="00453E3E"/>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04C0"/>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308C9"/>
    <w:rsid w:val="0053152A"/>
    <w:rsid w:val="005315D0"/>
    <w:rsid w:val="0053164A"/>
    <w:rsid w:val="00531FD9"/>
    <w:rsid w:val="00534E69"/>
    <w:rsid w:val="005370D4"/>
    <w:rsid w:val="00537663"/>
    <w:rsid w:val="005403EF"/>
    <w:rsid w:val="00540E66"/>
    <w:rsid w:val="0054102B"/>
    <w:rsid w:val="00541682"/>
    <w:rsid w:val="00541BCE"/>
    <w:rsid w:val="00541FAB"/>
    <w:rsid w:val="0054203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0B9D"/>
    <w:rsid w:val="00592241"/>
    <w:rsid w:val="0059294C"/>
    <w:rsid w:val="0059441E"/>
    <w:rsid w:val="0059649D"/>
    <w:rsid w:val="005968CE"/>
    <w:rsid w:val="005A00FF"/>
    <w:rsid w:val="005A2668"/>
    <w:rsid w:val="005A3BFA"/>
    <w:rsid w:val="005A5BDF"/>
    <w:rsid w:val="005A72A1"/>
    <w:rsid w:val="005A772F"/>
    <w:rsid w:val="005A7813"/>
    <w:rsid w:val="005B01B3"/>
    <w:rsid w:val="005B0B25"/>
    <w:rsid w:val="005B1D21"/>
    <w:rsid w:val="005B35C3"/>
    <w:rsid w:val="005B35EE"/>
    <w:rsid w:val="005B4096"/>
    <w:rsid w:val="005B4157"/>
    <w:rsid w:val="005B649C"/>
    <w:rsid w:val="005B73C3"/>
    <w:rsid w:val="005B746A"/>
    <w:rsid w:val="005B77A4"/>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1AD"/>
    <w:rsid w:val="005F5B33"/>
    <w:rsid w:val="005F617A"/>
    <w:rsid w:val="005F6F18"/>
    <w:rsid w:val="005F6F72"/>
    <w:rsid w:val="005F79A1"/>
    <w:rsid w:val="005F7A4E"/>
    <w:rsid w:val="0060225E"/>
    <w:rsid w:val="006026C9"/>
    <w:rsid w:val="00602FAF"/>
    <w:rsid w:val="00604584"/>
    <w:rsid w:val="0060494A"/>
    <w:rsid w:val="00604FF1"/>
    <w:rsid w:val="0060544E"/>
    <w:rsid w:val="00605E31"/>
    <w:rsid w:val="0060649A"/>
    <w:rsid w:val="0061153A"/>
    <w:rsid w:val="00611757"/>
    <w:rsid w:val="00611D98"/>
    <w:rsid w:val="00615124"/>
    <w:rsid w:val="00615328"/>
    <w:rsid w:val="006172C0"/>
    <w:rsid w:val="00620225"/>
    <w:rsid w:val="006214CA"/>
    <w:rsid w:val="00624BD0"/>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63A"/>
    <w:rsid w:val="006453FF"/>
    <w:rsid w:val="0064555B"/>
    <w:rsid w:val="0064567A"/>
    <w:rsid w:val="0064615F"/>
    <w:rsid w:val="00651292"/>
    <w:rsid w:val="00651BA1"/>
    <w:rsid w:val="00651BB2"/>
    <w:rsid w:val="00652311"/>
    <w:rsid w:val="006537B1"/>
    <w:rsid w:val="00653A6F"/>
    <w:rsid w:val="00653EC3"/>
    <w:rsid w:val="00654006"/>
    <w:rsid w:val="006546B4"/>
    <w:rsid w:val="00654A76"/>
    <w:rsid w:val="00655CFF"/>
    <w:rsid w:val="006566DB"/>
    <w:rsid w:val="0066045D"/>
    <w:rsid w:val="006626B5"/>
    <w:rsid w:val="00662AEC"/>
    <w:rsid w:val="00662DB0"/>
    <w:rsid w:val="006637D6"/>
    <w:rsid w:val="00664B86"/>
    <w:rsid w:val="006663D7"/>
    <w:rsid w:val="006666B9"/>
    <w:rsid w:val="00666F07"/>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97053"/>
    <w:rsid w:val="00697456"/>
    <w:rsid w:val="006A121A"/>
    <w:rsid w:val="006A1FB1"/>
    <w:rsid w:val="006A395E"/>
    <w:rsid w:val="006A4A22"/>
    <w:rsid w:val="006A4E45"/>
    <w:rsid w:val="006A511B"/>
    <w:rsid w:val="006A7500"/>
    <w:rsid w:val="006A7F98"/>
    <w:rsid w:val="006B0ED7"/>
    <w:rsid w:val="006B1F64"/>
    <w:rsid w:val="006B3284"/>
    <w:rsid w:val="006B52EB"/>
    <w:rsid w:val="006C2009"/>
    <w:rsid w:val="006C4C54"/>
    <w:rsid w:val="006C4D6A"/>
    <w:rsid w:val="006C51FA"/>
    <w:rsid w:val="006C6754"/>
    <w:rsid w:val="006C67A7"/>
    <w:rsid w:val="006D04E8"/>
    <w:rsid w:val="006D0D23"/>
    <w:rsid w:val="006D12D6"/>
    <w:rsid w:val="006E0754"/>
    <w:rsid w:val="006E3108"/>
    <w:rsid w:val="006E4120"/>
    <w:rsid w:val="006E4654"/>
    <w:rsid w:val="006E4CE6"/>
    <w:rsid w:val="006E682E"/>
    <w:rsid w:val="006E68D3"/>
    <w:rsid w:val="006E7168"/>
    <w:rsid w:val="006F0651"/>
    <w:rsid w:val="006F0870"/>
    <w:rsid w:val="006F10FF"/>
    <w:rsid w:val="006F20D4"/>
    <w:rsid w:val="006F499C"/>
    <w:rsid w:val="006F6FDA"/>
    <w:rsid w:val="00700357"/>
    <w:rsid w:val="00701DCB"/>
    <w:rsid w:val="00702865"/>
    <w:rsid w:val="007028CF"/>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70EA"/>
    <w:rsid w:val="00717D02"/>
    <w:rsid w:val="00720D64"/>
    <w:rsid w:val="007213D1"/>
    <w:rsid w:val="00721703"/>
    <w:rsid w:val="00721DD8"/>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681"/>
    <w:rsid w:val="00750ECD"/>
    <w:rsid w:val="0075186D"/>
    <w:rsid w:val="007542D6"/>
    <w:rsid w:val="007548EC"/>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AF9"/>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38DD"/>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172"/>
    <w:rsid w:val="008A2309"/>
    <w:rsid w:val="008A366E"/>
    <w:rsid w:val="008A3FA5"/>
    <w:rsid w:val="008A416C"/>
    <w:rsid w:val="008B0A1E"/>
    <w:rsid w:val="008B2CFF"/>
    <w:rsid w:val="008B4072"/>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D7DB7"/>
    <w:rsid w:val="008E01E5"/>
    <w:rsid w:val="008E468C"/>
    <w:rsid w:val="008E493E"/>
    <w:rsid w:val="008E6BA3"/>
    <w:rsid w:val="008E7DF1"/>
    <w:rsid w:val="008F0866"/>
    <w:rsid w:val="008F0A72"/>
    <w:rsid w:val="008F1D42"/>
    <w:rsid w:val="008F4011"/>
    <w:rsid w:val="008F5F18"/>
    <w:rsid w:val="008F7115"/>
    <w:rsid w:val="008F796D"/>
    <w:rsid w:val="00900154"/>
    <w:rsid w:val="009001B6"/>
    <w:rsid w:val="0090356F"/>
    <w:rsid w:val="00904576"/>
    <w:rsid w:val="00905EB0"/>
    <w:rsid w:val="0090687E"/>
    <w:rsid w:val="009077B8"/>
    <w:rsid w:val="00911C56"/>
    <w:rsid w:val="00911F91"/>
    <w:rsid w:val="00912376"/>
    <w:rsid w:val="00914DA4"/>
    <w:rsid w:val="00915285"/>
    <w:rsid w:val="00916329"/>
    <w:rsid w:val="009169F5"/>
    <w:rsid w:val="009172AE"/>
    <w:rsid w:val="00917419"/>
    <w:rsid w:val="00917641"/>
    <w:rsid w:val="0092092B"/>
    <w:rsid w:val="00921067"/>
    <w:rsid w:val="00921BBA"/>
    <w:rsid w:val="009245C9"/>
    <w:rsid w:val="00926CB3"/>
    <w:rsid w:val="0093096D"/>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2D41"/>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3D89"/>
    <w:rsid w:val="009C3E41"/>
    <w:rsid w:val="009C4AE7"/>
    <w:rsid w:val="009C652C"/>
    <w:rsid w:val="009C6F72"/>
    <w:rsid w:val="009C74C1"/>
    <w:rsid w:val="009D028B"/>
    <w:rsid w:val="009D286B"/>
    <w:rsid w:val="009D52E3"/>
    <w:rsid w:val="009D5333"/>
    <w:rsid w:val="009E05FC"/>
    <w:rsid w:val="009E1A65"/>
    <w:rsid w:val="009E2089"/>
    <w:rsid w:val="009E4F06"/>
    <w:rsid w:val="009E7382"/>
    <w:rsid w:val="009F1724"/>
    <w:rsid w:val="009F1F10"/>
    <w:rsid w:val="009F3B76"/>
    <w:rsid w:val="009F5B1F"/>
    <w:rsid w:val="009F721D"/>
    <w:rsid w:val="00A00727"/>
    <w:rsid w:val="00A01BA0"/>
    <w:rsid w:val="00A035C5"/>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6498"/>
    <w:rsid w:val="00A26C17"/>
    <w:rsid w:val="00A2790D"/>
    <w:rsid w:val="00A30765"/>
    <w:rsid w:val="00A31820"/>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3B35"/>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645"/>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71B5F"/>
    <w:rsid w:val="00B71CC7"/>
    <w:rsid w:val="00B7235E"/>
    <w:rsid w:val="00B7565A"/>
    <w:rsid w:val="00B760E3"/>
    <w:rsid w:val="00B76111"/>
    <w:rsid w:val="00B771E2"/>
    <w:rsid w:val="00B77211"/>
    <w:rsid w:val="00B7770D"/>
    <w:rsid w:val="00B80ECF"/>
    <w:rsid w:val="00B81E2C"/>
    <w:rsid w:val="00B81E4D"/>
    <w:rsid w:val="00B83B59"/>
    <w:rsid w:val="00B84366"/>
    <w:rsid w:val="00B84C8E"/>
    <w:rsid w:val="00B908F7"/>
    <w:rsid w:val="00B92AF9"/>
    <w:rsid w:val="00B93491"/>
    <w:rsid w:val="00B94730"/>
    <w:rsid w:val="00B94D6C"/>
    <w:rsid w:val="00B95CA2"/>
    <w:rsid w:val="00B97918"/>
    <w:rsid w:val="00BA0192"/>
    <w:rsid w:val="00BA4284"/>
    <w:rsid w:val="00BA7F11"/>
    <w:rsid w:val="00BB1EBE"/>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4CC"/>
    <w:rsid w:val="00BF6C5B"/>
    <w:rsid w:val="00BF73EE"/>
    <w:rsid w:val="00C00018"/>
    <w:rsid w:val="00C003E4"/>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9A6"/>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5471"/>
    <w:rsid w:val="00C45ADC"/>
    <w:rsid w:val="00C460DD"/>
    <w:rsid w:val="00C460F2"/>
    <w:rsid w:val="00C46942"/>
    <w:rsid w:val="00C51E2D"/>
    <w:rsid w:val="00C53344"/>
    <w:rsid w:val="00C5366D"/>
    <w:rsid w:val="00C538F7"/>
    <w:rsid w:val="00C53A84"/>
    <w:rsid w:val="00C53E2B"/>
    <w:rsid w:val="00C54E58"/>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907"/>
    <w:rsid w:val="00C822CD"/>
    <w:rsid w:val="00C82B21"/>
    <w:rsid w:val="00C86867"/>
    <w:rsid w:val="00C86CD0"/>
    <w:rsid w:val="00C86DB8"/>
    <w:rsid w:val="00C86DD1"/>
    <w:rsid w:val="00C86E22"/>
    <w:rsid w:val="00C86ED6"/>
    <w:rsid w:val="00C90357"/>
    <w:rsid w:val="00C90BF7"/>
    <w:rsid w:val="00C91F10"/>
    <w:rsid w:val="00C938A2"/>
    <w:rsid w:val="00C93AE1"/>
    <w:rsid w:val="00C97163"/>
    <w:rsid w:val="00C972DB"/>
    <w:rsid w:val="00CA27B7"/>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BA0"/>
    <w:rsid w:val="00D27E27"/>
    <w:rsid w:val="00D30A38"/>
    <w:rsid w:val="00D33C79"/>
    <w:rsid w:val="00D344A2"/>
    <w:rsid w:val="00D37565"/>
    <w:rsid w:val="00D37FFE"/>
    <w:rsid w:val="00D40B46"/>
    <w:rsid w:val="00D40E37"/>
    <w:rsid w:val="00D40FD6"/>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85A"/>
    <w:rsid w:val="00D80B00"/>
    <w:rsid w:val="00D80D3C"/>
    <w:rsid w:val="00D8139D"/>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B7244"/>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3B9E"/>
    <w:rsid w:val="00DE4CDA"/>
    <w:rsid w:val="00DE54BE"/>
    <w:rsid w:val="00DE62C7"/>
    <w:rsid w:val="00DE6B13"/>
    <w:rsid w:val="00DE784E"/>
    <w:rsid w:val="00DF112D"/>
    <w:rsid w:val="00DF17A2"/>
    <w:rsid w:val="00DF2AF4"/>
    <w:rsid w:val="00DF3BF9"/>
    <w:rsid w:val="00DF43ED"/>
    <w:rsid w:val="00DF6811"/>
    <w:rsid w:val="00DF6A22"/>
    <w:rsid w:val="00DF71C1"/>
    <w:rsid w:val="00DF7F85"/>
    <w:rsid w:val="00E003CC"/>
    <w:rsid w:val="00E01F63"/>
    <w:rsid w:val="00E025F6"/>
    <w:rsid w:val="00E0279C"/>
    <w:rsid w:val="00E0344C"/>
    <w:rsid w:val="00E04444"/>
    <w:rsid w:val="00E04FB7"/>
    <w:rsid w:val="00E0656A"/>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548"/>
    <w:rsid w:val="00E27A58"/>
    <w:rsid w:val="00E31B57"/>
    <w:rsid w:val="00E32159"/>
    <w:rsid w:val="00E33E37"/>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8782B"/>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29D9"/>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73C"/>
    <w:rsid w:val="00F87D63"/>
    <w:rsid w:val="00F91533"/>
    <w:rsid w:val="00F93557"/>
    <w:rsid w:val="00F93CC2"/>
    <w:rsid w:val="00F94307"/>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2B9"/>
    <w:rsid w:val="00FC3B36"/>
    <w:rsid w:val="00FC3D19"/>
    <w:rsid w:val="00FC50A7"/>
    <w:rsid w:val="00FD1412"/>
    <w:rsid w:val="00FD33B2"/>
    <w:rsid w:val="00FD43BB"/>
    <w:rsid w:val="00FD4F63"/>
    <w:rsid w:val="00FD5CF4"/>
    <w:rsid w:val="00FE040C"/>
    <w:rsid w:val="00FE1D37"/>
    <w:rsid w:val="00FE2666"/>
    <w:rsid w:val="00FE270B"/>
    <w:rsid w:val="00FE7BB8"/>
    <w:rsid w:val="00FE7EBE"/>
    <w:rsid w:val="00FF01E6"/>
    <w:rsid w:val="00FF1483"/>
    <w:rsid w:val="00FF294F"/>
    <w:rsid w:val="00FF3063"/>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91D8"/>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3871696">
      <w:bodyDiv w:val="1"/>
      <w:marLeft w:val="0"/>
      <w:marRight w:val="0"/>
      <w:marTop w:val="0"/>
      <w:marBottom w:val="0"/>
      <w:divBdr>
        <w:top w:val="none" w:sz="0" w:space="0" w:color="auto"/>
        <w:left w:val="none" w:sz="0" w:space="0" w:color="auto"/>
        <w:bottom w:val="none" w:sz="0" w:space="0" w:color="auto"/>
        <w:right w:val="none" w:sz="0" w:space="0" w:color="auto"/>
      </w:divBdr>
      <w:divsChild>
        <w:div w:id="144470061">
          <w:marLeft w:val="0"/>
          <w:marRight w:val="0"/>
          <w:marTop w:val="30"/>
          <w:marBottom w:val="0"/>
          <w:divBdr>
            <w:top w:val="none" w:sz="0" w:space="0" w:color="auto"/>
            <w:left w:val="none" w:sz="0" w:space="0" w:color="auto"/>
            <w:bottom w:val="none" w:sz="0" w:space="0" w:color="auto"/>
            <w:right w:val="none" w:sz="0" w:space="0" w:color="auto"/>
          </w:divBdr>
          <w:divsChild>
            <w:div w:id="6465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0066224">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01413070">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0482859">
      <w:bodyDiv w:val="1"/>
      <w:marLeft w:val="0"/>
      <w:marRight w:val="0"/>
      <w:marTop w:val="0"/>
      <w:marBottom w:val="0"/>
      <w:divBdr>
        <w:top w:val="none" w:sz="0" w:space="0" w:color="auto"/>
        <w:left w:val="none" w:sz="0" w:space="0" w:color="auto"/>
        <w:bottom w:val="none" w:sz="0" w:space="0" w:color="auto"/>
        <w:right w:val="none" w:sz="0" w:space="0" w:color="auto"/>
      </w:divBdr>
      <w:divsChild>
        <w:div w:id="681325955">
          <w:marLeft w:val="0"/>
          <w:marRight w:val="0"/>
          <w:marTop w:val="0"/>
          <w:marBottom w:val="0"/>
          <w:divBdr>
            <w:top w:val="none" w:sz="0" w:space="0" w:color="auto"/>
            <w:left w:val="none" w:sz="0" w:space="0" w:color="auto"/>
            <w:bottom w:val="none" w:sz="0" w:space="0" w:color="auto"/>
            <w:right w:val="none" w:sz="0" w:space="0" w:color="auto"/>
          </w:divBdr>
          <w:divsChild>
            <w:div w:id="644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016412">
      <w:bodyDiv w:val="1"/>
      <w:marLeft w:val="0"/>
      <w:marRight w:val="0"/>
      <w:marTop w:val="0"/>
      <w:marBottom w:val="0"/>
      <w:divBdr>
        <w:top w:val="none" w:sz="0" w:space="0" w:color="auto"/>
        <w:left w:val="none" w:sz="0" w:space="0" w:color="auto"/>
        <w:bottom w:val="none" w:sz="0" w:space="0" w:color="auto"/>
        <w:right w:val="none" w:sz="0" w:space="0" w:color="auto"/>
      </w:divBdr>
      <w:divsChild>
        <w:div w:id="901216014">
          <w:marLeft w:val="0"/>
          <w:marRight w:val="0"/>
          <w:marTop w:val="0"/>
          <w:marBottom w:val="300"/>
          <w:divBdr>
            <w:top w:val="none" w:sz="0" w:space="0" w:color="auto"/>
            <w:left w:val="none" w:sz="0" w:space="0" w:color="auto"/>
            <w:bottom w:val="none" w:sz="0" w:space="0" w:color="auto"/>
            <w:right w:val="none" w:sz="0" w:space="0" w:color="auto"/>
          </w:divBdr>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3568</Words>
  <Characters>19270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11</cp:revision>
  <dcterms:created xsi:type="dcterms:W3CDTF">2019-06-27T20:42:00Z</dcterms:created>
  <dcterms:modified xsi:type="dcterms:W3CDTF">2019-07-08T18:57:00Z</dcterms:modified>
</cp:coreProperties>
</file>