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BE" w:rsidRDefault="006958BE" w:rsidP="00C86DD1">
      <w:bookmarkStart w:id="0" w:name="_GoBack"/>
      <w:bookmarkEnd w:id="0"/>
    </w:p>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80E00"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4E697B">
        <w:rPr>
          <w:b/>
          <w:sz w:val="24"/>
          <w:szCs w:val="24"/>
        </w:rPr>
        <w:t xml:space="preserve"> 1</w:t>
      </w:r>
      <w:r w:rsidR="00A52707">
        <w:rPr>
          <w:b/>
          <w:sz w:val="24"/>
          <w:szCs w:val="24"/>
        </w:rPr>
        <w:t>/201</w:t>
      </w:r>
      <w:r w:rsidR="004E697B">
        <w:rPr>
          <w:b/>
          <w:sz w:val="24"/>
          <w:szCs w:val="24"/>
        </w:rPr>
        <w:t>7</w:t>
      </w: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BB4BAC">
        <w:rPr>
          <w:sz w:val="24"/>
          <w:szCs w:val="24"/>
        </w:rPr>
        <w:t>s</w:t>
      </w:r>
      <w:r w:rsidRPr="00F80E00">
        <w:rPr>
          <w:sz w:val="24"/>
          <w:szCs w:val="24"/>
        </w:rPr>
        <w:t xml:space="preserve"> de defesa comercial referente</w:t>
      </w:r>
      <w:r w:rsidR="007C4E8B">
        <w:rPr>
          <w:sz w:val="24"/>
          <w:szCs w:val="24"/>
        </w:rPr>
        <w:t>s</w:t>
      </w:r>
      <w:r w:rsidRPr="00F80E00">
        <w:rPr>
          <w:sz w:val="24"/>
          <w:szCs w:val="24"/>
        </w:rPr>
        <w:t xml:space="preserve"> ao</w:t>
      </w:r>
      <w:r w:rsidR="007C4E8B">
        <w:rPr>
          <w:sz w:val="24"/>
          <w:szCs w:val="24"/>
        </w:rPr>
        <w:t>s</w:t>
      </w:r>
      <w:r w:rsidRPr="00F80E00">
        <w:rPr>
          <w:sz w:val="24"/>
          <w:szCs w:val="24"/>
        </w:rPr>
        <w:t xml:space="preserve"> produto</w:t>
      </w:r>
      <w:r w:rsidR="007C4E8B">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C16C50" w:rsidRDefault="00C16C50" w:rsidP="00C16C50">
      <w:pPr>
        <w:rPr>
          <w:sz w:val="24"/>
          <w:szCs w:val="24"/>
        </w:rPr>
      </w:pPr>
      <w:r>
        <w:rPr>
          <w:sz w:val="24"/>
          <w:szCs w:val="24"/>
        </w:rPr>
        <w:t>Secretaria Executiva da ABECE</w:t>
      </w:r>
    </w:p>
    <w:p w:rsidR="007F7055" w:rsidRDefault="007F7055" w:rsidP="00EE6A5E">
      <w:pPr>
        <w:spacing w:after="0"/>
        <w:textAlignment w:val="top"/>
        <w:rPr>
          <w:rFonts w:eastAsia="Times New Roman" w:cs="Arial"/>
          <w:b/>
          <w:bCs/>
          <w:color w:val="222222"/>
          <w:sz w:val="24"/>
          <w:szCs w:val="24"/>
          <w:lang w:eastAsia="pt-BR"/>
        </w:rPr>
      </w:pPr>
    </w:p>
    <w:p w:rsidR="00A16E28" w:rsidRDefault="00A16E28" w:rsidP="00EE6A5E">
      <w:pPr>
        <w:spacing w:after="0"/>
        <w:textAlignment w:val="top"/>
        <w:rPr>
          <w:rFonts w:eastAsia="Times New Roman" w:cs="Arial"/>
          <w:b/>
          <w:bCs/>
          <w:color w:val="222222"/>
          <w:sz w:val="24"/>
          <w:szCs w:val="24"/>
          <w:lang w:eastAsia="pt-BR"/>
        </w:rPr>
      </w:pPr>
    </w:p>
    <w:p w:rsidR="00C21520" w:rsidRPr="00240850" w:rsidRDefault="007F7055" w:rsidP="007F7055">
      <w:pPr>
        <w:spacing w:after="0"/>
        <w:textAlignment w:val="top"/>
        <w:rPr>
          <w:rFonts w:ascii="Trebuchet MS" w:eastAsia="Times New Roman" w:hAnsi="Trebuchet MS" w:cs="Times New Roman"/>
          <w:b/>
          <w:color w:val="000000"/>
          <w:sz w:val="18"/>
          <w:szCs w:val="18"/>
          <w:lang w:eastAsia="pt-BR"/>
        </w:rPr>
      </w:pPr>
      <w:r w:rsidRPr="00240850">
        <w:rPr>
          <w:rFonts w:eastAsia="Times New Roman" w:cs="Times New Roman"/>
          <w:b/>
          <w:color w:val="000000"/>
          <w:sz w:val="24"/>
          <w:szCs w:val="24"/>
          <w:lang w:eastAsia="pt-BR"/>
        </w:rPr>
        <w:t xml:space="preserve">cordoalhas de aço de alto teor de carbono, de alta resistência, de 3 ou 7 fios, de baixa relaxação, </w:t>
      </w:r>
      <w:r w:rsidR="00240850" w:rsidRPr="00240850">
        <w:rPr>
          <w:rFonts w:eastAsia="Times New Roman" w:cs="Times New Roman"/>
          <w:b/>
          <w:color w:val="000000"/>
          <w:sz w:val="24"/>
          <w:szCs w:val="24"/>
          <w:lang w:eastAsia="pt-BR"/>
        </w:rPr>
        <w:t>(</w:t>
      </w:r>
      <w:r w:rsidRPr="00240850">
        <w:rPr>
          <w:rFonts w:eastAsia="Times New Roman" w:cs="Times New Roman"/>
          <w:b/>
          <w:color w:val="000000"/>
          <w:sz w:val="24"/>
          <w:szCs w:val="24"/>
          <w:lang w:eastAsia="pt-BR"/>
        </w:rPr>
        <w:t>NCM 7312.10.90</w:t>
      </w:r>
      <w:r w:rsidR="00240850" w:rsidRPr="00240850">
        <w:rPr>
          <w:rFonts w:eastAsia="Times New Roman" w:cs="Times New Roman"/>
          <w:b/>
          <w:color w:val="000000"/>
          <w:sz w:val="24"/>
          <w:szCs w:val="24"/>
          <w:lang w:eastAsia="pt-BR"/>
        </w:rPr>
        <w:t>)</w:t>
      </w:r>
      <w:r w:rsidRPr="00240850">
        <w:rPr>
          <w:rFonts w:ascii="Trebuchet MS" w:eastAsia="Times New Roman" w:hAnsi="Trebuchet MS" w:cs="Times New Roman"/>
          <w:b/>
          <w:color w:val="000000"/>
          <w:sz w:val="18"/>
          <w:szCs w:val="18"/>
          <w:lang w:eastAsia="pt-BR"/>
        </w:rPr>
        <w:t xml:space="preserve"> </w:t>
      </w:r>
    </w:p>
    <w:p w:rsidR="007C08B8" w:rsidRDefault="007C08B8" w:rsidP="007F7055">
      <w:pPr>
        <w:spacing w:after="0"/>
        <w:textAlignment w:val="top"/>
        <w:rPr>
          <w:sz w:val="24"/>
          <w:szCs w:val="24"/>
        </w:rPr>
      </w:pPr>
      <w:r w:rsidRPr="00B94D6C">
        <w:rPr>
          <w:rFonts w:ascii="Trebuchet MS" w:eastAsia="Times New Roman" w:hAnsi="Trebuchet MS" w:cs="Times New Roman"/>
          <w:color w:val="000000"/>
          <w:sz w:val="18"/>
          <w:szCs w:val="18"/>
          <w:lang w:eastAsia="pt-BR"/>
        </w:rPr>
        <w:br/>
      </w:r>
    </w:p>
    <w:p w:rsidR="00B25FF1" w:rsidRDefault="007C08B8" w:rsidP="00C21520">
      <w:pPr>
        <w:shd w:val="clear" w:color="auto" w:fill="FFFFFF"/>
        <w:spacing w:after="0" w:line="240" w:lineRule="auto"/>
        <w:textAlignment w:val="top"/>
        <w:rPr>
          <w:rFonts w:eastAsia="Times New Roman" w:cs="Times New Roman"/>
          <w:color w:val="000000"/>
          <w:sz w:val="24"/>
          <w:szCs w:val="24"/>
          <w:lang w:eastAsia="pt-BR"/>
        </w:rPr>
      </w:pPr>
      <w:r>
        <w:rPr>
          <w:rFonts w:eastAsia="Times New Roman" w:cs="Arial"/>
          <w:b/>
          <w:bCs/>
          <w:color w:val="222222"/>
          <w:sz w:val="24"/>
          <w:szCs w:val="24"/>
          <w:lang w:eastAsia="pt-BR"/>
        </w:rPr>
        <w:t>N-BUTANOL</w:t>
      </w:r>
      <w:r w:rsidR="00B81E4D" w:rsidRPr="000D580C">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2905.13.00</w:t>
      </w:r>
      <w:r w:rsidR="00B81E4D" w:rsidRPr="000D580C">
        <w:rPr>
          <w:rFonts w:eastAsia="Times New Roman" w:cs="Arial"/>
          <w:b/>
          <w:bCs/>
          <w:color w:val="222222"/>
          <w:sz w:val="24"/>
          <w:szCs w:val="24"/>
          <w:lang w:eastAsia="pt-BR"/>
        </w:rPr>
        <w:t>) </w:t>
      </w:r>
      <w:r w:rsidR="003F193B" w:rsidRPr="00505368">
        <w:rPr>
          <w:rFonts w:eastAsia="Times New Roman" w:cs="Times New Roman"/>
          <w:b/>
          <w:bCs/>
          <w:color w:val="0D2731"/>
          <w:sz w:val="24"/>
          <w:szCs w:val="24"/>
          <w:bdr w:val="none" w:sz="0" w:space="0" w:color="auto" w:frame="1"/>
          <w:lang w:eastAsia="pt-BR"/>
        </w:rPr>
        <w:t> </w:t>
      </w:r>
    </w:p>
    <w:p w:rsidR="00B25FF1" w:rsidRPr="00760FE4" w:rsidRDefault="00B25FF1" w:rsidP="00B81E4D">
      <w:pPr>
        <w:spacing w:after="240" w:line="240" w:lineRule="auto"/>
        <w:textAlignment w:val="top"/>
        <w:rPr>
          <w:rFonts w:eastAsia="Times New Roman" w:cs="Times New Roman"/>
          <w:color w:val="000000"/>
          <w:sz w:val="24"/>
          <w:szCs w:val="24"/>
          <w:lang w:eastAsia="pt-BR"/>
        </w:rPr>
      </w:pPr>
    </w:p>
    <w:p w:rsidR="00ED70F7" w:rsidRPr="000D580C" w:rsidRDefault="00D66FC9" w:rsidP="00240850">
      <w:pPr>
        <w:spacing w:after="0" w:line="240" w:lineRule="auto"/>
        <w:textAlignment w:val="top"/>
        <w:rPr>
          <w:rFonts w:eastAsia="Times New Roman" w:cs="Arial"/>
          <w:color w:val="222222"/>
          <w:sz w:val="19"/>
          <w:szCs w:val="19"/>
          <w:lang w:eastAsia="pt-BR"/>
        </w:rPr>
      </w:pPr>
      <w:r>
        <w:rPr>
          <w:rFonts w:eastAsia="Times New Roman" w:cs="Arial"/>
          <w:b/>
          <w:bCs/>
          <w:color w:val="222222"/>
          <w:sz w:val="24"/>
          <w:szCs w:val="24"/>
          <w:lang w:eastAsia="pt-BR"/>
        </w:rPr>
        <w:t xml:space="preserve">OBJETOS DE </w:t>
      </w:r>
      <w:r w:rsidR="007A1477">
        <w:rPr>
          <w:rFonts w:eastAsia="Times New Roman" w:cs="Arial"/>
          <w:b/>
          <w:bCs/>
          <w:color w:val="222222"/>
          <w:sz w:val="24"/>
          <w:szCs w:val="24"/>
          <w:lang w:eastAsia="pt-BR"/>
        </w:rPr>
        <w:t>VIDRO</w:t>
      </w:r>
      <w:r>
        <w:rPr>
          <w:rFonts w:eastAsia="Times New Roman" w:cs="Arial"/>
          <w:b/>
          <w:bCs/>
          <w:color w:val="222222"/>
          <w:sz w:val="24"/>
          <w:szCs w:val="24"/>
          <w:lang w:eastAsia="pt-BR"/>
        </w:rPr>
        <w:t xml:space="preserve"> PARA MESA</w:t>
      </w:r>
      <w:r w:rsidR="00ED70F7" w:rsidRPr="000D580C">
        <w:rPr>
          <w:rFonts w:eastAsia="Times New Roman" w:cs="Arial"/>
          <w:b/>
          <w:bCs/>
          <w:color w:val="222222"/>
          <w:sz w:val="24"/>
          <w:szCs w:val="24"/>
          <w:lang w:eastAsia="pt-BR"/>
        </w:rPr>
        <w:t xml:space="preserve"> (NCM</w:t>
      </w:r>
      <w:r w:rsidR="007A1477" w:rsidRPr="007A1477">
        <w:rPr>
          <w:rFonts w:eastAsia="Times New Roman" w:cs="Arial"/>
          <w:b/>
          <w:bCs/>
          <w:color w:val="222222"/>
          <w:sz w:val="24"/>
          <w:szCs w:val="24"/>
          <w:lang w:eastAsia="pt-BR"/>
        </w:rPr>
        <w:t xml:space="preserve"> </w:t>
      </w:r>
      <w:r w:rsidR="007A1477" w:rsidRPr="007A1477">
        <w:rPr>
          <w:rFonts w:eastAsia="Times New Roman" w:cs="Times New Roman"/>
          <w:b/>
          <w:color w:val="000000"/>
          <w:sz w:val="24"/>
          <w:szCs w:val="24"/>
          <w:lang w:eastAsia="pt-BR"/>
        </w:rPr>
        <w:t>70</w:t>
      </w:r>
      <w:r>
        <w:rPr>
          <w:rFonts w:eastAsia="Times New Roman" w:cs="Times New Roman"/>
          <w:b/>
          <w:color w:val="000000"/>
          <w:sz w:val="24"/>
          <w:szCs w:val="24"/>
          <w:lang w:eastAsia="pt-BR"/>
        </w:rPr>
        <w:t>13.49.00, 7013.28.00 E 7013.37.00</w:t>
      </w:r>
      <w:r w:rsidR="00ED70F7" w:rsidRPr="000D580C">
        <w:rPr>
          <w:rFonts w:eastAsia="Times New Roman" w:cs="Arial"/>
          <w:b/>
          <w:bCs/>
          <w:color w:val="222222"/>
          <w:sz w:val="24"/>
          <w:szCs w:val="24"/>
          <w:lang w:eastAsia="pt-BR"/>
        </w:rPr>
        <w:t>)</w:t>
      </w:r>
    </w:p>
    <w:p w:rsidR="00D66FC9" w:rsidRDefault="00D66FC9" w:rsidP="009A736C">
      <w:pPr>
        <w:spacing w:after="0" w:line="240" w:lineRule="auto"/>
        <w:textAlignment w:val="top"/>
        <w:rPr>
          <w:rFonts w:eastAsia="Times New Roman" w:cs="Times New Roman"/>
          <w:color w:val="000000"/>
          <w:sz w:val="24"/>
          <w:szCs w:val="24"/>
          <w:lang w:eastAsia="pt-BR"/>
        </w:rPr>
      </w:pPr>
    </w:p>
    <w:p w:rsidR="009A736C" w:rsidRPr="00505368" w:rsidRDefault="009A736C" w:rsidP="009A736C">
      <w:pPr>
        <w:shd w:val="clear" w:color="auto" w:fill="FFFFFF"/>
        <w:spacing w:after="0" w:line="240" w:lineRule="auto"/>
        <w:rPr>
          <w:sz w:val="24"/>
          <w:szCs w:val="24"/>
        </w:rPr>
      </w:pPr>
    </w:p>
    <w:p w:rsidR="002E5E81" w:rsidRDefault="002E5E81" w:rsidP="002E5E81">
      <w:pPr>
        <w:spacing w:after="0" w:line="240" w:lineRule="auto"/>
        <w:jc w:val="center"/>
        <w:textAlignment w:val="top"/>
        <w:rPr>
          <w:rFonts w:eastAsia="Times New Roman" w:cs="Times New Roman"/>
          <w:b/>
          <w:color w:val="000000"/>
          <w:sz w:val="24"/>
          <w:szCs w:val="24"/>
          <w:lang w:eastAsia="pt-BR"/>
        </w:rPr>
      </w:pPr>
    </w:p>
    <w:p w:rsidR="002E5E81" w:rsidRPr="00F82E2E" w:rsidRDefault="00474AFF" w:rsidP="00C21520">
      <w:pPr>
        <w:shd w:val="clear" w:color="auto" w:fill="FFFFFF"/>
        <w:spacing w:after="0" w:line="240" w:lineRule="auto"/>
        <w:rPr>
          <w:rFonts w:eastAsia="Times New Roman" w:cs="Times New Roman"/>
          <w:b/>
          <w:color w:val="000000"/>
          <w:sz w:val="24"/>
          <w:szCs w:val="24"/>
          <w:lang w:eastAsia="pt-BR"/>
        </w:rPr>
      </w:pPr>
      <w:r>
        <w:rPr>
          <w:rFonts w:cs="Arial"/>
          <w:b/>
          <w:bCs/>
          <w:color w:val="222222"/>
          <w:sz w:val="24"/>
          <w:szCs w:val="24"/>
          <w:shd w:val="clear" w:color="auto" w:fill="FFFFFF"/>
        </w:rPr>
        <w:t>FIOS DE NÁILON</w:t>
      </w:r>
      <w:r w:rsidR="00F82E2E" w:rsidRPr="00F82E2E">
        <w:rPr>
          <w:rFonts w:cs="Arial"/>
          <w:b/>
          <w:bCs/>
          <w:color w:val="222222"/>
          <w:sz w:val="24"/>
          <w:szCs w:val="24"/>
          <w:shd w:val="clear" w:color="auto" w:fill="FFFFFF"/>
        </w:rPr>
        <w:t xml:space="preserve"> (NCM </w:t>
      </w:r>
      <w:r>
        <w:rPr>
          <w:rFonts w:cs="Arial"/>
          <w:b/>
          <w:bCs/>
          <w:color w:val="222222"/>
          <w:sz w:val="24"/>
          <w:szCs w:val="24"/>
          <w:shd w:val="clear" w:color="auto" w:fill="FFFFFF"/>
        </w:rPr>
        <w:t>5402.31.11, 5402.31.19 E 5402.45.20</w:t>
      </w:r>
      <w:r w:rsidR="00F82E2E" w:rsidRPr="00F82E2E">
        <w:rPr>
          <w:rFonts w:cs="Arial"/>
          <w:b/>
          <w:bCs/>
          <w:color w:val="222222"/>
          <w:sz w:val="24"/>
          <w:szCs w:val="24"/>
          <w:shd w:val="clear" w:color="auto" w:fill="FFFFFF"/>
        </w:rPr>
        <w:t>)</w:t>
      </w:r>
      <w:r w:rsidR="00F82E2E" w:rsidRPr="00F82E2E">
        <w:rPr>
          <w:rFonts w:cs="Arial"/>
          <w:color w:val="222222"/>
          <w:sz w:val="24"/>
          <w:szCs w:val="24"/>
          <w:shd w:val="clear" w:color="auto" w:fill="FFFFFF"/>
        </w:rPr>
        <w:t> </w:t>
      </w:r>
    </w:p>
    <w:p w:rsidR="00ED70F7" w:rsidRDefault="00ED70F7" w:rsidP="002E5E81">
      <w:pPr>
        <w:textAlignment w:val="top"/>
        <w:rPr>
          <w:rFonts w:eastAsia="Times New Roman" w:cs="Times New Roman"/>
          <w:b/>
          <w:bCs/>
          <w:color w:val="000000"/>
          <w:sz w:val="24"/>
          <w:szCs w:val="24"/>
          <w:bdr w:val="none" w:sz="0" w:space="0" w:color="auto" w:frame="1"/>
          <w:lang w:eastAsia="pt-BR"/>
        </w:rPr>
      </w:pPr>
    </w:p>
    <w:p w:rsidR="008015E9" w:rsidRDefault="009C1FE1" w:rsidP="00F605DF">
      <w:pPr>
        <w:shd w:val="clear" w:color="auto" w:fill="FFFFFF"/>
        <w:spacing w:after="0" w:line="240" w:lineRule="auto"/>
        <w:rPr>
          <w:b/>
          <w:sz w:val="48"/>
          <w:szCs w:val="48"/>
        </w:rPr>
      </w:pPr>
      <w:r>
        <w:rPr>
          <w:rFonts w:eastAsia="Times New Roman" w:cs="Arial"/>
          <w:b/>
          <w:bCs/>
          <w:color w:val="222222"/>
          <w:sz w:val="24"/>
          <w:szCs w:val="24"/>
          <w:lang w:eastAsia="pt-BR"/>
        </w:rPr>
        <w:t>TUBOS DE AÇO CARBONO S/COSTURA</w:t>
      </w:r>
      <w:r w:rsidRPr="009C1FE1">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7304.19.00</w:t>
      </w:r>
      <w:r w:rsidRPr="009C1FE1">
        <w:rPr>
          <w:rFonts w:eastAsia="Times New Roman" w:cs="Arial"/>
          <w:b/>
          <w:bCs/>
          <w:color w:val="000000"/>
          <w:sz w:val="24"/>
          <w:szCs w:val="24"/>
          <w:lang w:eastAsia="pt-BR"/>
        </w:rPr>
        <w:t>)</w:t>
      </w:r>
      <w:r w:rsidRPr="009C1FE1">
        <w:rPr>
          <w:rFonts w:eastAsia="Times New Roman" w:cs="Arial"/>
          <w:color w:val="222222"/>
          <w:sz w:val="24"/>
          <w:szCs w:val="24"/>
          <w:lang w:eastAsia="pt-BR"/>
        </w:rPr>
        <w:t> </w:t>
      </w:r>
      <w:r w:rsidR="00F605DF">
        <w:rPr>
          <w:b/>
          <w:sz w:val="48"/>
          <w:szCs w:val="48"/>
        </w:rPr>
        <w:t xml:space="preserve"> </w:t>
      </w:r>
    </w:p>
    <w:p w:rsidR="00C45ADC" w:rsidRDefault="00C45ADC" w:rsidP="009C1FE1">
      <w:pPr>
        <w:shd w:val="clear" w:color="auto" w:fill="FFFFFF"/>
        <w:spacing w:after="0" w:line="240" w:lineRule="auto"/>
        <w:rPr>
          <w:b/>
          <w:sz w:val="48"/>
          <w:szCs w:val="48"/>
        </w:rPr>
      </w:pPr>
    </w:p>
    <w:p w:rsidR="00EE0224" w:rsidRDefault="00C3682B" w:rsidP="003E5B89">
      <w:pPr>
        <w:shd w:val="clear" w:color="auto" w:fill="FFFFFF"/>
        <w:spacing w:after="0" w:line="240" w:lineRule="auto"/>
        <w:jc w:val="center"/>
        <w:rPr>
          <w:b/>
          <w:sz w:val="48"/>
          <w:szCs w:val="48"/>
        </w:rPr>
      </w:pPr>
      <w:r w:rsidRPr="00654A76">
        <w:rPr>
          <w:b/>
          <w:sz w:val="48"/>
          <w:szCs w:val="48"/>
        </w:rPr>
        <w:t>ANEXO</w:t>
      </w:r>
    </w:p>
    <w:p w:rsidR="00505368" w:rsidRDefault="00505368" w:rsidP="00E025F6">
      <w:pPr>
        <w:shd w:val="clear" w:color="auto" w:fill="FFFFFF"/>
        <w:spacing w:after="0" w:line="240" w:lineRule="auto"/>
        <w:rPr>
          <w:sz w:val="24"/>
          <w:szCs w:val="24"/>
        </w:rPr>
      </w:pPr>
    </w:p>
    <w:p w:rsidR="00505368" w:rsidRPr="00505368" w:rsidRDefault="00615328" w:rsidP="00505368">
      <w:pPr>
        <w:shd w:val="clear" w:color="auto" w:fill="FFFFFF"/>
        <w:spacing w:after="0" w:line="240" w:lineRule="auto"/>
        <w:jc w:val="center"/>
        <w:rPr>
          <w:b/>
          <w:sz w:val="24"/>
          <w:szCs w:val="24"/>
        </w:rPr>
      </w:pPr>
      <w:r w:rsidRPr="00505368">
        <w:rPr>
          <w:b/>
          <w:sz w:val="24"/>
          <w:szCs w:val="24"/>
        </w:rPr>
        <w:t>PORTARIA</w:t>
      </w:r>
      <w:r w:rsidR="00505368">
        <w:rPr>
          <w:b/>
          <w:sz w:val="24"/>
          <w:szCs w:val="24"/>
        </w:rPr>
        <w:t xml:space="preserve"> SECEX</w:t>
      </w:r>
      <w:r w:rsidRPr="00505368">
        <w:rPr>
          <w:b/>
          <w:sz w:val="24"/>
          <w:szCs w:val="24"/>
        </w:rPr>
        <w:t xml:space="preserve"> N</w:t>
      </w:r>
      <w:r w:rsidR="00505368">
        <w:rPr>
          <w:b/>
          <w:sz w:val="24"/>
          <w:szCs w:val="24"/>
        </w:rPr>
        <w:t>º</w:t>
      </w:r>
      <w:r w:rsidRPr="00505368">
        <w:rPr>
          <w:b/>
          <w:sz w:val="24"/>
          <w:szCs w:val="24"/>
        </w:rPr>
        <w:t xml:space="preserve"> 51, DE 14 DE DEZEMBRO DE 2016 (D.O.U. de 15/12/2016)</w:t>
      </w:r>
    </w:p>
    <w:p w:rsidR="00505368" w:rsidRDefault="00505368" w:rsidP="00E025F6">
      <w:pPr>
        <w:shd w:val="clear" w:color="auto" w:fill="FFFFFF"/>
        <w:spacing w:after="0" w:line="240" w:lineRule="auto"/>
        <w:rPr>
          <w:sz w:val="24"/>
          <w:szCs w:val="24"/>
        </w:rPr>
      </w:pPr>
    </w:p>
    <w:p w:rsidR="00505368" w:rsidRDefault="00615328" w:rsidP="00E025F6">
      <w:pPr>
        <w:shd w:val="clear" w:color="auto" w:fill="FFFFFF"/>
        <w:spacing w:after="0" w:line="240" w:lineRule="auto"/>
        <w:rPr>
          <w:sz w:val="24"/>
          <w:szCs w:val="24"/>
        </w:rPr>
      </w:pPr>
      <w:r w:rsidRPr="00E025F6">
        <w:rPr>
          <w:sz w:val="24"/>
          <w:szCs w:val="24"/>
        </w:rPr>
        <w:t xml:space="preserve">O SECRETÁRIO DE COMÉRCIO EXTERIOR, DO MINISTÉRIO DA INDÚSTRIA, COMÉRCIO EXTERIOR E SERVIÇOS, no uso de suas atribuições previstas no art. 3o da Resolução CAMEX no 80, de 9 de novembro de 2010, regulamentada pela Portaria SECEX no 38, de 18 de maio de 2015, e tendo em vista a Lei no 12.546, de 14 de dezembro de 2011 e o </w:t>
      </w:r>
      <w:r w:rsidRPr="00E025F6">
        <w:rPr>
          <w:sz w:val="24"/>
          <w:szCs w:val="24"/>
        </w:rPr>
        <w:lastRenderedPageBreak/>
        <w:t xml:space="preserve">disposto no Acordo sobre Regras de Origem da Organização Mundial de Comércio – OMC, promulgado pelo Decreto no 1.355, de 30 de dezembro de 1994, decide: </w:t>
      </w:r>
    </w:p>
    <w:p w:rsidR="00505368" w:rsidRDefault="00505368" w:rsidP="00E025F6">
      <w:pPr>
        <w:shd w:val="clear" w:color="auto" w:fill="FFFFFF"/>
        <w:spacing w:after="0" w:line="240" w:lineRule="auto"/>
        <w:rPr>
          <w:sz w:val="24"/>
          <w:szCs w:val="24"/>
        </w:rPr>
      </w:pPr>
    </w:p>
    <w:p w:rsidR="00505368" w:rsidRDefault="00615328" w:rsidP="00E025F6">
      <w:pPr>
        <w:shd w:val="clear" w:color="auto" w:fill="FFFFFF"/>
        <w:spacing w:after="0" w:line="240" w:lineRule="auto"/>
        <w:rPr>
          <w:sz w:val="24"/>
          <w:szCs w:val="24"/>
        </w:rPr>
      </w:pPr>
      <w:r w:rsidRPr="00E025F6">
        <w:rPr>
          <w:sz w:val="24"/>
          <w:szCs w:val="24"/>
        </w:rPr>
        <w:t xml:space="preserve">Art. 1º Encerrar o procedimento especial de verificação de origem não preferencial com a qualificação da origem Vietnã para o produto fios de náilon, classificado no subitem 5402.45.20 da Nomenclatura Comum do Mercosul (NCM), declarado como produzido pela empresa FORMOSA INDUSTRIES CORPORATION. </w:t>
      </w:r>
    </w:p>
    <w:p w:rsidR="00505368" w:rsidRDefault="00615328" w:rsidP="00E025F6">
      <w:pPr>
        <w:shd w:val="clear" w:color="auto" w:fill="FFFFFF"/>
        <w:spacing w:after="0" w:line="240" w:lineRule="auto"/>
        <w:rPr>
          <w:sz w:val="24"/>
          <w:szCs w:val="24"/>
        </w:rPr>
      </w:pPr>
      <w:r w:rsidRPr="00E025F6">
        <w:rPr>
          <w:sz w:val="24"/>
          <w:szCs w:val="24"/>
        </w:rPr>
        <w:t xml:space="preserve">Art. 2º Deferir as licenças de importação solicitadas pelos importadores brasileiros referentes ao produto e produtor mencionados no art. 1o , quando a origem declarada for Vietnã, observando as disposições do art. 3o desta Portaria. </w:t>
      </w:r>
    </w:p>
    <w:p w:rsidR="00505368" w:rsidRDefault="00505368" w:rsidP="00E025F6">
      <w:pPr>
        <w:shd w:val="clear" w:color="auto" w:fill="FFFFFF"/>
        <w:spacing w:after="0" w:line="240" w:lineRule="auto"/>
        <w:rPr>
          <w:sz w:val="24"/>
          <w:szCs w:val="24"/>
        </w:rPr>
      </w:pPr>
    </w:p>
    <w:p w:rsidR="00505368" w:rsidRDefault="00615328" w:rsidP="00E025F6">
      <w:pPr>
        <w:shd w:val="clear" w:color="auto" w:fill="FFFFFF"/>
        <w:spacing w:after="0" w:line="240" w:lineRule="auto"/>
        <w:rPr>
          <w:sz w:val="24"/>
          <w:szCs w:val="24"/>
        </w:rPr>
      </w:pPr>
      <w:r w:rsidRPr="00E025F6">
        <w:rPr>
          <w:sz w:val="24"/>
          <w:szCs w:val="24"/>
        </w:rPr>
        <w:t xml:space="preserve">Art. 3º As disposições do art. 2o não se estendem a fios de náilon </w:t>
      </w:r>
      <w:proofErr w:type="spellStart"/>
      <w:r w:rsidRPr="00E025F6">
        <w:rPr>
          <w:sz w:val="24"/>
          <w:szCs w:val="24"/>
        </w:rPr>
        <w:t>texturizados</w:t>
      </w:r>
      <w:proofErr w:type="spellEnd"/>
      <w:r w:rsidRPr="00E025F6">
        <w:rPr>
          <w:sz w:val="24"/>
          <w:szCs w:val="24"/>
        </w:rPr>
        <w:t xml:space="preserve">, classificados nos subitens 5402.31.11 e 5402.31.19 da Nomenclatura Comum do Mercosul (NCM). Portanto, deve-se indeferir as licenças de importação solicitadas pelos importadores brasileiros referentes a fios de náilon </w:t>
      </w:r>
      <w:proofErr w:type="spellStart"/>
      <w:r w:rsidRPr="00E025F6">
        <w:rPr>
          <w:sz w:val="24"/>
          <w:szCs w:val="24"/>
        </w:rPr>
        <w:t>texturizados</w:t>
      </w:r>
      <w:proofErr w:type="spellEnd"/>
      <w:r w:rsidRPr="00E025F6">
        <w:rPr>
          <w:sz w:val="24"/>
          <w:szCs w:val="24"/>
        </w:rPr>
        <w:t xml:space="preserve"> quando o alegado produtor for a empresa FORMOSA INDUSTRIES CORPORATION e origem declarada Vietnã. </w:t>
      </w:r>
    </w:p>
    <w:p w:rsidR="00505368" w:rsidRDefault="00505368" w:rsidP="00E025F6">
      <w:pPr>
        <w:shd w:val="clear" w:color="auto" w:fill="FFFFFF"/>
        <w:spacing w:after="0" w:line="240" w:lineRule="auto"/>
        <w:rPr>
          <w:sz w:val="24"/>
          <w:szCs w:val="24"/>
        </w:rPr>
      </w:pPr>
    </w:p>
    <w:p w:rsidR="00BF533B" w:rsidRPr="00E025F6" w:rsidRDefault="00615328" w:rsidP="00E025F6">
      <w:pPr>
        <w:shd w:val="clear" w:color="auto" w:fill="FFFFFF"/>
        <w:spacing w:after="0" w:line="240" w:lineRule="auto"/>
        <w:rPr>
          <w:sz w:val="24"/>
          <w:szCs w:val="24"/>
        </w:rPr>
      </w:pPr>
      <w:r w:rsidRPr="00E025F6">
        <w:rPr>
          <w:sz w:val="24"/>
          <w:szCs w:val="24"/>
        </w:rPr>
        <w:t>ABRÃO MIGUEL ÁRABE NETO</w:t>
      </w:r>
    </w:p>
    <w:p w:rsidR="006B52EB" w:rsidRPr="00E025F6" w:rsidRDefault="006B52EB" w:rsidP="00E025F6">
      <w:pPr>
        <w:shd w:val="clear" w:color="auto" w:fill="FFFFFF"/>
        <w:spacing w:after="0" w:line="240" w:lineRule="auto"/>
        <w:rPr>
          <w:sz w:val="24"/>
          <w:szCs w:val="24"/>
        </w:rPr>
      </w:pPr>
    </w:p>
    <w:p w:rsidR="00505368" w:rsidRDefault="00505368" w:rsidP="00E025F6">
      <w:pPr>
        <w:shd w:val="clear" w:color="auto" w:fill="FFFFFF"/>
        <w:spacing w:after="0" w:line="240" w:lineRule="auto"/>
        <w:rPr>
          <w:sz w:val="24"/>
          <w:szCs w:val="24"/>
        </w:rPr>
      </w:pPr>
    </w:p>
    <w:p w:rsidR="00505368" w:rsidRPr="00505368" w:rsidRDefault="006B52EB" w:rsidP="00505368">
      <w:pPr>
        <w:shd w:val="clear" w:color="auto" w:fill="FFFFFF"/>
        <w:spacing w:after="0" w:line="240" w:lineRule="auto"/>
        <w:jc w:val="center"/>
        <w:rPr>
          <w:b/>
          <w:sz w:val="24"/>
          <w:szCs w:val="24"/>
        </w:rPr>
      </w:pPr>
      <w:r w:rsidRPr="00505368">
        <w:rPr>
          <w:b/>
          <w:sz w:val="24"/>
          <w:szCs w:val="24"/>
        </w:rPr>
        <w:t>PORTARIA</w:t>
      </w:r>
      <w:r w:rsidR="00505368" w:rsidRPr="00505368">
        <w:rPr>
          <w:b/>
          <w:sz w:val="24"/>
          <w:szCs w:val="24"/>
        </w:rPr>
        <w:t xml:space="preserve"> SECEX</w:t>
      </w:r>
      <w:r w:rsidRPr="00505368">
        <w:rPr>
          <w:b/>
          <w:sz w:val="24"/>
          <w:szCs w:val="24"/>
        </w:rPr>
        <w:t xml:space="preserve"> N</w:t>
      </w:r>
      <w:r w:rsidR="00505368" w:rsidRPr="00505368">
        <w:rPr>
          <w:b/>
          <w:sz w:val="24"/>
          <w:szCs w:val="24"/>
        </w:rPr>
        <w:t>º</w:t>
      </w:r>
      <w:r w:rsidRPr="00505368">
        <w:rPr>
          <w:b/>
          <w:sz w:val="24"/>
          <w:szCs w:val="24"/>
        </w:rPr>
        <w:t xml:space="preserve"> 52, DE 14 DE DEZEMBRO DE 2016 (D.O.U. de 15/12/2016)</w:t>
      </w:r>
    </w:p>
    <w:p w:rsidR="00505368" w:rsidRDefault="00505368" w:rsidP="00E025F6">
      <w:pPr>
        <w:shd w:val="clear" w:color="auto" w:fill="FFFFFF"/>
        <w:spacing w:after="0" w:line="240" w:lineRule="auto"/>
        <w:rPr>
          <w:sz w:val="24"/>
          <w:szCs w:val="24"/>
        </w:rPr>
      </w:pPr>
    </w:p>
    <w:p w:rsidR="00505368" w:rsidRDefault="006B52EB" w:rsidP="00E025F6">
      <w:pPr>
        <w:shd w:val="clear" w:color="auto" w:fill="FFFFFF"/>
        <w:spacing w:after="0" w:line="240" w:lineRule="auto"/>
        <w:rPr>
          <w:sz w:val="24"/>
          <w:szCs w:val="24"/>
        </w:rPr>
      </w:pPr>
      <w:r w:rsidRPr="00E025F6">
        <w:rPr>
          <w:sz w:val="24"/>
          <w:szCs w:val="24"/>
        </w:rPr>
        <w:t xml:space="preserve">O SECRETÁRIO DE COMÉRCIO EXTERIOR, DO MINISTÉRIO DA INDÚSTRIA, COMÉRCIO EXTERIOR E SERVIÇOS,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w:t>
      </w:r>
    </w:p>
    <w:p w:rsidR="00505368" w:rsidRDefault="00505368" w:rsidP="00E025F6">
      <w:pPr>
        <w:shd w:val="clear" w:color="auto" w:fill="FFFFFF"/>
        <w:spacing w:after="0" w:line="240" w:lineRule="auto"/>
        <w:rPr>
          <w:sz w:val="24"/>
          <w:szCs w:val="24"/>
        </w:rPr>
      </w:pPr>
    </w:p>
    <w:p w:rsidR="00505368" w:rsidRDefault="006B52EB" w:rsidP="00E025F6">
      <w:pPr>
        <w:shd w:val="clear" w:color="auto" w:fill="FFFFFF"/>
        <w:spacing w:after="0" w:line="240" w:lineRule="auto"/>
        <w:rPr>
          <w:sz w:val="24"/>
          <w:szCs w:val="24"/>
        </w:rPr>
      </w:pPr>
      <w:r w:rsidRPr="00E025F6">
        <w:rPr>
          <w:sz w:val="24"/>
          <w:szCs w:val="24"/>
        </w:rPr>
        <w:t xml:space="preserve">Art. 1º Encerrar o procedimento especial de verificação de origem não preferencial com a desqualificação da origem Vietnã para o produto fios de náilon, classificado nos subitens 5402.31.11, 5402.31.19 e 5402.45.20 da Nomenclatura Comum do Mercosul, declarado como produzido pela empresa ITALON COMPANY LIMITED. </w:t>
      </w:r>
    </w:p>
    <w:p w:rsidR="00505368" w:rsidRDefault="00505368" w:rsidP="00E025F6">
      <w:pPr>
        <w:shd w:val="clear" w:color="auto" w:fill="FFFFFF"/>
        <w:spacing w:after="0" w:line="240" w:lineRule="auto"/>
        <w:rPr>
          <w:sz w:val="24"/>
          <w:szCs w:val="24"/>
        </w:rPr>
      </w:pPr>
    </w:p>
    <w:p w:rsidR="00505368" w:rsidRDefault="006B52EB" w:rsidP="00E025F6">
      <w:pPr>
        <w:shd w:val="clear" w:color="auto" w:fill="FFFFFF"/>
        <w:spacing w:after="0" w:line="240" w:lineRule="auto"/>
        <w:rPr>
          <w:sz w:val="24"/>
          <w:szCs w:val="24"/>
        </w:rPr>
      </w:pPr>
      <w:r w:rsidRPr="00E025F6">
        <w:rPr>
          <w:sz w:val="24"/>
          <w:szCs w:val="24"/>
        </w:rPr>
        <w:t xml:space="preserve">Art. 2º Indeferir as licenças de importação solicitadas pelos importadores brasileiros referentes aos produtos e produtor mencionados no art. 1o , quando a origem declarada for Vietnã. </w:t>
      </w:r>
    </w:p>
    <w:p w:rsidR="00505368" w:rsidRDefault="00505368" w:rsidP="00E025F6">
      <w:pPr>
        <w:shd w:val="clear" w:color="auto" w:fill="FFFFFF"/>
        <w:spacing w:after="0" w:line="240" w:lineRule="auto"/>
        <w:rPr>
          <w:sz w:val="24"/>
          <w:szCs w:val="24"/>
        </w:rPr>
      </w:pPr>
    </w:p>
    <w:p w:rsidR="006B52EB" w:rsidRPr="00E025F6" w:rsidRDefault="006B52EB" w:rsidP="00E025F6">
      <w:pPr>
        <w:shd w:val="clear" w:color="auto" w:fill="FFFFFF"/>
        <w:spacing w:after="0" w:line="240" w:lineRule="auto"/>
        <w:rPr>
          <w:sz w:val="24"/>
          <w:szCs w:val="24"/>
        </w:rPr>
      </w:pPr>
      <w:r w:rsidRPr="00E025F6">
        <w:rPr>
          <w:sz w:val="24"/>
          <w:szCs w:val="24"/>
        </w:rPr>
        <w:t>ABRÃO MIGUEL ÁRABE NETO</w:t>
      </w:r>
    </w:p>
    <w:p w:rsidR="006B52EB" w:rsidRPr="00E025F6" w:rsidRDefault="006B52EB" w:rsidP="00E025F6">
      <w:pPr>
        <w:shd w:val="clear" w:color="auto" w:fill="FFFFFF"/>
        <w:spacing w:after="0" w:line="240" w:lineRule="auto"/>
        <w:rPr>
          <w:sz w:val="24"/>
          <w:szCs w:val="24"/>
        </w:rPr>
      </w:pPr>
    </w:p>
    <w:p w:rsidR="00505368" w:rsidRDefault="00505368" w:rsidP="00E025F6">
      <w:pPr>
        <w:shd w:val="clear" w:color="auto" w:fill="FFFFFF"/>
        <w:spacing w:after="0" w:line="240" w:lineRule="auto"/>
        <w:rPr>
          <w:sz w:val="24"/>
          <w:szCs w:val="24"/>
        </w:rPr>
      </w:pPr>
    </w:p>
    <w:p w:rsidR="00505368" w:rsidRDefault="00505368" w:rsidP="00E025F6">
      <w:pPr>
        <w:shd w:val="clear" w:color="auto" w:fill="FFFFFF"/>
        <w:spacing w:after="0" w:line="240" w:lineRule="auto"/>
        <w:rPr>
          <w:sz w:val="24"/>
          <w:szCs w:val="24"/>
        </w:rPr>
      </w:pPr>
    </w:p>
    <w:p w:rsidR="00505368" w:rsidRPr="00505368" w:rsidRDefault="006B52EB" w:rsidP="00505368">
      <w:pPr>
        <w:shd w:val="clear" w:color="auto" w:fill="FFFFFF"/>
        <w:spacing w:after="0" w:line="240" w:lineRule="auto"/>
        <w:jc w:val="center"/>
        <w:rPr>
          <w:b/>
          <w:sz w:val="24"/>
          <w:szCs w:val="24"/>
        </w:rPr>
      </w:pPr>
      <w:r w:rsidRPr="00505368">
        <w:rPr>
          <w:b/>
          <w:sz w:val="24"/>
          <w:szCs w:val="24"/>
        </w:rPr>
        <w:t xml:space="preserve">CIRCULAR </w:t>
      </w:r>
      <w:r w:rsidR="00505368" w:rsidRPr="00505368">
        <w:rPr>
          <w:b/>
          <w:sz w:val="24"/>
          <w:szCs w:val="24"/>
        </w:rPr>
        <w:t xml:space="preserve">SECEX </w:t>
      </w:r>
      <w:r w:rsidRPr="00505368">
        <w:rPr>
          <w:b/>
          <w:sz w:val="24"/>
          <w:szCs w:val="24"/>
        </w:rPr>
        <w:t>N</w:t>
      </w:r>
      <w:r w:rsidR="00505368" w:rsidRPr="00505368">
        <w:rPr>
          <w:b/>
          <w:sz w:val="24"/>
          <w:szCs w:val="24"/>
        </w:rPr>
        <w:t>º</w:t>
      </w:r>
      <w:r w:rsidRPr="00505368">
        <w:rPr>
          <w:b/>
          <w:sz w:val="24"/>
          <w:szCs w:val="24"/>
        </w:rPr>
        <w:t xml:space="preserve"> 73, DE 16 DE DEZEMBRO DE 2016 (D.O.U. de 19/12/2016)</w:t>
      </w:r>
    </w:p>
    <w:p w:rsidR="00505368" w:rsidRDefault="00505368" w:rsidP="00E025F6">
      <w:pPr>
        <w:shd w:val="clear" w:color="auto" w:fill="FFFFFF"/>
        <w:spacing w:after="0" w:line="240" w:lineRule="auto"/>
        <w:rPr>
          <w:sz w:val="24"/>
          <w:szCs w:val="24"/>
        </w:rPr>
      </w:pPr>
    </w:p>
    <w:p w:rsidR="00505368" w:rsidRDefault="006B52EB" w:rsidP="00E025F6">
      <w:pPr>
        <w:shd w:val="clear" w:color="auto" w:fill="FFFFFF"/>
        <w:spacing w:after="0" w:line="240" w:lineRule="auto"/>
        <w:rPr>
          <w:sz w:val="24"/>
          <w:szCs w:val="24"/>
        </w:rPr>
      </w:pPr>
      <w:r w:rsidRPr="00E025F6">
        <w:rPr>
          <w:sz w:val="24"/>
          <w:szCs w:val="24"/>
        </w:rPr>
        <w:t xml:space="preserve">O SECRETÁRIO DE COMÉRCIO EXTERIOR DO MINISTÉRIO DA INDÚSTRIA, COMÉRCIO EXTERIOR E SERVIÇOS, nos termos do Acordo sobre a Implementação do Artigo VI do </w:t>
      </w:r>
      <w:r w:rsidRPr="00E025F6">
        <w:rPr>
          <w:sz w:val="24"/>
          <w:szCs w:val="24"/>
        </w:rPr>
        <w:lastRenderedPageBreak/>
        <w:t xml:space="preserve">Acordo Geral sobre Tarifas e Comércio - GATT 1994, aprovado pelo Decreto Legislativo no 30, de 15 de dezembro de 1994, e promulgado pelo Decreto no 1.355, de 30 de dezembro de 1994, de acordo com o disposto nos </w:t>
      </w:r>
      <w:proofErr w:type="spellStart"/>
      <w:r w:rsidRPr="00E025F6">
        <w:rPr>
          <w:sz w:val="24"/>
          <w:szCs w:val="24"/>
        </w:rPr>
        <w:t>arts</w:t>
      </w:r>
      <w:proofErr w:type="spellEnd"/>
      <w:r w:rsidRPr="00E025F6">
        <w:rPr>
          <w:sz w:val="24"/>
          <w:szCs w:val="24"/>
        </w:rPr>
        <w:t xml:space="preserve">. 59 a 63 do Decreto no 8.058, de 26 de julho de 2013, e tendo em vista o que consta do Processo MDIC/SECEX 52272.001393/2016-48, decide: </w:t>
      </w:r>
    </w:p>
    <w:p w:rsidR="00505368" w:rsidRDefault="00505368" w:rsidP="00E025F6">
      <w:pPr>
        <w:shd w:val="clear" w:color="auto" w:fill="FFFFFF"/>
        <w:spacing w:after="0" w:line="240" w:lineRule="auto"/>
        <w:rPr>
          <w:sz w:val="24"/>
          <w:szCs w:val="24"/>
        </w:rPr>
      </w:pPr>
    </w:p>
    <w:p w:rsidR="00505368" w:rsidRDefault="006B52EB" w:rsidP="00E025F6">
      <w:pPr>
        <w:shd w:val="clear" w:color="auto" w:fill="FFFFFF"/>
        <w:spacing w:after="0" w:line="240" w:lineRule="auto"/>
        <w:rPr>
          <w:sz w:val="24"/>
          <w:szCs w:val="24"/>
        </w:rPr>
      </w:pPr>
      <w:r w:rsidRPr="00E025F6">
        <w:rPr>
          <w:sz w:val="24"/>
          <w:szCs w:val="24"/>
        </w:rPr>
        <w:t>1. Tornar públicos os prazos que servirão de parâmetro para o restante da revisão do direito antidumping instituído pela Resolução CAMEX no 63, de 06 de setembro de 2011, aplicado às importações brasileiras de tubos de aço carbono, sem costura, de condução (</w:t>
      </w:r>
      <w:proofErr w:type="spellStart"/>
      <w:r w:rsidRPr="00E025F6">
        <w:rPr>
          <w:sz w:val="24"/>
          <w:szCs w:val="24"/>
        </w:rPr>
        <w:t>line</w:t>
      </w:r>
      <w:proofErr w:type="spellEnd"/>
      <w:r w:rsidRPr="00E025F6">
        <w:rPr>
          <w:sz w:val="24"/>
          <w:szCs w:val="24"/>
        </w:rPr>
        <w:t xml:space="preserve"> </w:t>
      </w:r>
      <w:proofErr w:type="spellStart"/>
      <w:r w:rsidRPr="00E025F6">
        <w:rPr>
          <w:sz w:val="24"/>
          <w:szCs w:val="24"/>
        </w:rPr>
        <w:t>pipe</w:t>
      </w:r>
      <w:proofErr w:type="spellEnd"/>
      <w:r w:rsidRPr="00E025F6">
        <w:rPr>
          <w:sz w:val="24"/>
          <w:szCs w:val="24"/>
        </w:rPr>
        <w:t xml:space="preserve">), utilizados para oleodutos e gasodutos, com diâmetro de até cinco polegadas, comumente classificadas no item 7304.19.00 da Nomenclatura Comum do MERCOSUL - NCM, originárias da República Popular da China: </w:t>
      </w:r>
    </w:p>
    <w:p w:rsidR="00505368" w:rsidRDefault="00505368" w:rsidP="00E025F6">
      <w:pPr>
        <w:shd w:val="clear" w:color="auto" w:fill="FFFFFF"/>
        <w:spacing w:after="0" w:line="240" w:lineRule="auto"/>
        <w:rPr>
          <w:sz w:val="24"/>
          <w:szCs w:val="24"/>
        </w:rPr>
      </w:pPr>
    </w:p>
    <w:p w:rsidR="00505368" w:rsidRDefault="006B52EB" w:rsidP="00E025F6">
      <w:pPr>
        <w:shd w:val="clear" w:color="auto" w:fill="FFFFFF"/>
        <w:spacing w:after="0" w:line="240" w:lineRule="auto"/>
        <w:rPr>
          <w:sz w:val="24"/>
          <w:szCs w:val="24"/>
        </w:rPr>
      </w:pPr>
      <w:r w:rsidRPr="00E025F6">
        <w:rPr>
          <w:sz w:val="24"/>
          <w:szCs w:val="24"/>
        </w:rPr>
        <w:t xml:space="preserve">Disposição legal – Decreto no 8.058, de 2013 Prazos Datas previstas </w:t>
      </w:r>
    </w:p>
    <w:p w:rsidR="00505368" w:rsidRDefault="006B52EB" w:rsidP="00E025F6">
      <w:pPr>
        <w:shd w:val="clear" w:color="auto" w:fill="FFFFFF"/>
        <w:spacing w:after="0" w:line="240" w:lineRule="auto"/>
        <w:rPr>
          <w:sz w:val="24"/>
          <w:szCs w:val="24"/>
        </w:rPr>
      </w:pPr>
      <w:r w:rsidRPr="00E025F6">
        <w:rPr>
          <w:sz w:val="24"/>
          <w:szCs w:val="24"/>
        </w:rPr>
        <w:t xml:space="preserve">art.59 Encerramento da fase probatória da investigação 30 de março de 2017 </w:t>
      </w:r>
    </w:p>
    <w:p w:rsidR="00505368" w:rsidRDefault="006B52EB" w:rsidP="00E025F6">
      <w:pPr>
        <w:shd w:val="clear" w:color="auto" w:fill="FFFFFF"/>
        <w:spacing w:after="0" w:line="240" w:lineRule="auto"/>
        <w:rPr>
          <w:sz w:val="24"/>
          <w:szCs w:val="24"/>
        </w:rPr>
      </w:pPr>
      <w:r w:rsidRPr="00E025F6">
        <w:rPr>
          <w:sz w:val="24"/>
          <w:szCs w:val="24"/>
        </w:rPr>
        <w:t xml:space="preserve">art. 60 Encerramento da fase de manifestação sobre os dados e as informações constantes dos autos 19 de abril de 2017 </w:t>
      </w:r>
    </w:p>
    <w:p w:rsidR="00505368" w:rsidRDefault="006B52EB" w:rsidP="00E025F6">
      <w:pPr>
        <w:shd w:val="clear" w:color="auto" w:fill="FFFFFF"/>
        <w:spacing w:after="0" w:line="240" w:lineRule="auto"/>
        <w:rPr>
          <w:sz w:val="24"/>
          <w:szCs w:val="24"/>
        </w:rPr>
      </w:pPr>
      <w:r w:rsidRPr="00E025F6">
        <w:rPr>
          <w:sz w:val="24"/>
          <w:szCs w:val="24"/>
        </w:rPr>
        <w:t xml:space="preserve">art. 61 Divulgação da nota técnica contendo os fatos essenciais que se encontram em análise e que serão considerados na determinação final 09 de maio de 2017 </w:t>
      </w:r>
    </w:p>
    <w:p w:rsidR="00505368" w:rsidRDefault="006B52EB" w:rsidP="00E025F6">
      <w:pPr>
        <w:shd w:val="clear" w:color="auto" w:fill="FFFFFF"/>
        <w:spacing w:after="0" w:line="240" w:lineRule="auto"/>
        <w:rPr>
          <w:sz w:val="24"/>
          <w:szCs w:val="24"/>
        </w:rPr>
      </w:pPr>
      <w:r w:rsidRPr="00E025F6">
        <w:rPr>
          <w:sz w:val="24"/>
          <w:szCs w:val="24"/>
        </w:rPr>
        <w:t xml:space="preserve">art. 62 Encerramento do prazo para apresentação das manifestações finais pelas partes interessadas e Encerramento da fase de instrução do processo 29 de maio de 2017 </w:t>
      </w:r>
    </w:p>
    <w:p w:rsidR="00505368" w:rsidRDefault="006B52EB" w:rsidP="00E025F6">
      <w:pPr>
        <w:shd w:val="clear" w:color="auto" w:fill="FFFFFF"/>
        <w:spacing w:after="0" w:line="240" w:lineRule="auto"/>
        <w:rPr>
          <w:sz w:val="24"/>
          <w:szCs w:val="24"/>
        </w:rPr>
      </w:pPr>
      <w:r w:rsidRPr="00E025F6">
        <w:rPr>
          <w:sz w:val="24"/>
          <w:szCs w:val="24"/>
        </w:rPr>
        <w:t xml:space="preserve">art. 63 Expedição, pelo DECOM, do parecer de determinação final 13 de junho de 2017 </w:t>
      </w:r>
    </w:p>
    <w:p w:rsidR="00505368" w:rsidRDefault="00505368" w:rsidP="00E025F6">
      <w:pPr>
        <w:shd w:val="clear" w:color="auto" w:fill="FFFFFF"/>
        <w:spacing w:after="0" w:line="240" w:lineRule="auto"/>
        <w:rPr>
          <w:sz w:val="24"/>
          <w:szCs w:val="24"/>
        </w:rPr>
      </w:pPr>
    </w:p>
    <w:p w:rsidR="00505368" w:rsidRDefault="00505368" w:rsidP="00E025F6">
      <w:pPr>
        <w:shd w:val="clear" w:color="auto" w:fill="FFFFFF"/>
        <w:spacing w:after="0" w:line="240" w:lineRule="auto"/>
        <w:rPr>
          <w:sz w:val="24"/>
          <w:szCs w:val="24"/>
        </w:rPr>
      </w:pPr>
    </w:p>
    <w:p w:rsidR="00505368" w:rsidRDefault="006B52EB" w:rsidP="00E025F6">
      <w:pPr>
        <w:shd w:val="clear" w:color="auto" w:fill="FFFFFF"/>
        <w:spacing w:after="0" w:line="240" w:lineRule="auto"/>
        <w:rPr>
          <w:sz w:val="24"/>
          <w:szCs w:val="24"/>
        </w:rPr>
      </w:pPr>
      <w:r w:rsidRPr="00E025F6">
        <w:rPr>
          <w:sz w:val="24"/>
          <w:szCs w:val="24"/>
        </w:rPr>
        <w:t xml:space="preserve">2. Divulgar decisão final de utilizar os Estados Unidos da América como terceiro país de economia de mercado para fins do art. 15 do Decreto no 8.058, de 26 de julho de 2013. </w:t>
      </w:r>
    </w:p>
    <w:p w:rsidR="00505368" w:rsidRDefault="00505368" w:rsidP="00E025F6">
      <w:pPr>
        <w:shd w:val="clear" w:color="auto" w:fill="FFFFFF"/>
        <w:spacing w:after="0" w:line="240" w:lineRule="auto"/>
        <w:rPr>
          <w:sz w:val="24"/>
          <w:szCs w:val="24"/>
        </w:rPr>
      </w:pPr>
    </w:p>
    <w:p w:rsidR="006B52EB" w:rsidRPr="00E025F6" w:rsidRDefault="006B52EB" w:rsidP="00E025F6">
      <w:pPr>
        <w:shd w:val="clear" w:color="auto" w:fill="FFFFFF"/>
        <w:spacing w:after="0" w:line="240" w:lineRule="auto"/>
        <w:rPr>
          <w:sz w:val="24"/>
          <w:szCs w:val="24"/>
        </w:rPr>
      </w:pPr>
      <w:r w:rsidRPr="00E025F6">
        <w:rPr>
          <w:sz w:val="24"/>
          <w:szCs w:val="24"/>
        </w:rPr>
        <w:t>ABRÃO MIGUEL ÁRABE NETO</w:t>
      </w:r>
    </w:p>
    <w:p w:rsidR="00D02292" w:rsidRPr="00E025F6" w:rsidRDefault="00D02292" w:rsidP="00E025F6">
      <w:pPr>
        <w:shd w:val="clear" w:color="auto" w:fill="FFFFFF"/>
        <w:spacing w:after="0" w:line="240" w:lineRule="auto"/>
        <w:rPr>
          <w:sz w:val="24"/>
          <w:szCs w:val="24"/>
        </w:rPr>
      </w:pPr>
    </w:p>
    <w:p w:rsidR="00D02292" w:rsidRPr="00E025F6" w:rsidRDefault="00D02292" w:rsidP="00E025F6">
      <w:pPr>
        <w:shd w:val="clear" w:color="auto" w:fill="FFFFFF"/>
        <w:spacing w:after="0" w:line="240" w:lineRule="auto"/>
        <w:rPr>
          <w:sz w:val="24"/>
          <w:szCs w:val="24"/>
        </w:rPr>
      </w:pPr>
    </w:p>
    <w:p w:rsidR="00505368" w:rsidRPr="00505368" w:rsidRDefault="00D02292" w:rsidP="00505368">
      <w:pPr>
        <w:shd w:val="clear" w:color="auto" w:fill="FFFFFF"/>
        <w:spacing w:after="0" w:line="240" w:lineRule="auto"/>
        <w:jc w:val="center"/>
        <w:rPr>
          <w:b/>
          <w:sz w:val="24"/>
          <w:szCs w:val="24"/>
        </w:rPr>
      </w:pPr>
      <w:r w:rsidRPr="00505368">
        <w:rPr>
          <w:b/>
          <w:sz w:val="24"/>
          <w:szCs w:val="24"/>
        </w:rPr>
        <w:t>CIRCULAR</w:t>
      </w:r>
      <w:r w:rsidR="00505368" w:rsidRPr="00505368">
        <w:rPr>
          <w:b/>
          <w:sz w:val="24"/>
          <w:szCs w:val="24"/>
        </w:rPr>
        <w:t xml:space="preserve"> SECEX</w:t>
      </w:r>
      <w:r w:rsidRPr="00505368">
        <w:rPr>
          <w:b/>
          <w:sz w:val="24"/>
          <w:szCs w:val="24"/>
        </w:rPr>
        <w:t xml:space="preserve"> N</w:t>
      </w:r>
      <w:r w:rsidR="00505368" w:rsidRPr="00505368">
        <w:rPr>
          <w:b/>
          <w:sz w:val="24"/>
          <w:szCs w:val="24"/>
        </w:rPr>
        <w:t>º</w:t>
      </w:r>
      <w:r w:rsidRPr="00505368">
        <w:rPr>
          <w:b/>
          <w:sz w:val="24"/>
          <w:szCs w:val="24"/>
        </w:rPr>
        <w:t xml:space="preserve"> 74, DE 16 DE DEZEMBRO DE 2016 (D.O.U. de 19/12/2016)</w:t>
      </w:r>
    </w:p>
    <w:p w:rsidR="00505368" w:rsidRDefault="00505368" w:rsidP="00E025F6">
      <w:pPr>
        <w:shd w:val="clear" w:color="auto" w:fill="FFFFFF"/>
        <w:spacing w:after="0" w:line="240" w:lineRule="auto"/>
        <w:rPr>
          <w:sz w:val="24"/>
          <w:szCs w:val="24"/>
        </w:rPr>
      </w:pPr>
    </w:p>
    <w:p w:rsidR="00505368" w:rsidRDefault="00D02292" w:rsidP="00E025F6">
      <w:pPr>
        <w:shd w:val="clear" w:color="auto" w:fill="FFFFFF"/>
        <w:spacing w:after="0" w:line="240" w:lineRule="auto"/>
        <w:rPr>
          <w:sz w:val="24"/>
          <w:szCs w:val="24"/>
        </w:rPr>
      </w:pPr>
      <w:r w:rsidRPr="00E025F6">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nos </w:t>
      </w:r>
      <w:proofErr w:type="spellStart"/>
      <w:r w:rsidRPr="00E025F6">
        <w:rPr>
          <w:sz w:val="24"/>
          <w:szCs w:val="24"/>
        </w:rPr>
        <w:t>arts</w:t>
      </w:r>
      <w:proofErr w:type="spellEnd"/>
      <w:r w:rsidRPr="00E025F6">
        <w:rPr>
          <w:sz w:val="24"/>
          <w:szCs w:val="24"/>
        </w:rPr>
        <w:t xml:space="preserve">. 59 a 63 do Decreto no 8.058, de 26 de julho de 2013, e tendo em vista o que consta do Processo MDIC/SECEX 52272.001395/2016-37, decide: </w:t>
      </w:r>
    </w:p>
    <w:p w:rsidR="00505368" w:rsidRDefault="00505368" w:rsidP="00E025F6">
      <w:pPr>
        <w:shd w:val="clear" w:color="auto" w:fill="FFFFFF"/>
        <w:spacing w:after="0" w:line="240" w:lineRule="auto"/>
        <w:rPr>
          <w:sz w:val="24"/>
          <w:szCs w:val="24"/>
        </w:rPr>
      </w:pPr>
    </w:p>
    <w:p w:rsidR="00505368" w:rsidRDefault="00D02292" w:rsidP="00E025F6">
      <w:pPr>
        <w:shd w:val="clear" w:color="auto" w:fill="FFFFFF"/>
        <w:spacing w:after="0" w:line="240" w:lineRule="auto"/>
        <w:rPr>
          <w:sz w:val="24"/>
          <w:szCs w:val="24"/>
        </w:rPr>
      </w:pPr>
      <w:r w:rsidRPr="00E025F6">
        <w:rPr>
          <w:sz w:val="24"/>
          <w:szCs w:val="24"/>
        </w:rPr>
        <w:t>1. Tornar públicos os prazos que servirão de parâmetro para o restante da revisão do direito antidumping instituído pela Resolução CAMEX no 54, de 9 de agosto de 2011, aplicado às importações brasileiras de tubos de aço carbono, sem costura, de condução (</w:t>
      </w:r>
      <w:proofErr w:type="spellStart"/>
      <w:r w:rsidRPr="00E025F6">
        <w:rPr>
          <w:sz w:val="24"/>
          <w:szCs w:val="24"/>
        </w:rPr>
        <w:t>line</w:t>
      </w:r>
      <w:proofErr w:type="spellEnd"/>
      <w:r w:rsidRPr="00E025F6">
        <w:rPr>
          <w:sz w:val="24"/>
          <w:szCs w:val="24"/>
        </w:rPr>
        <w:t xml:space="preserve"> </w:t>
      </w:r>
      <w:proofErr w:type="spellStart"/>
      <w:r w:rsidRPr="00E025F6">
        <w:rPr>
          <w:sz w:val="24"/>
          <w:szCs w:val="24"/>
        </w:rPr>
        <w:t>pipe</w:t>
      </w:r>
      <w:proofErr w:type="spellEnd"/>
      <w:r w:rsidRPr="00E025F6">
        <w:rPr>
          <w:sz w:val="24"/>
          <w:szCs w:val="24"/>
        </w:rPr>
        <w:t xml:space="preserve">), utilizados para oleodutos e gasodutos, com diâmetro de até cinco polegadas, comumente classificadas no item 7304.19.00 da Nomenclatura Comum do MERCOSUL - NCM, originárias da Romênia: Disposição legal – Decreto no 8.058, de 2013 Prazos Datas previstas </w:t>
      </w:r>
    </w:p>
    <w:p w:rsidR="00505368" w:rsidRDefault="00D02292" w:rsidP="00E025F6">
      <w:pPr>
        <w:shd w:val="clear" w:color="auto" w:fill="FFFFFF"/>
        <w:spacing w:after="0" w:line="240" w:lineRule="auto"/>
        <w:rPr>
          <w:sz w:val="24"/>
          <w:szCs w:val="24"/>
        </w:rPr>
      </w:pPr>
      <w:r w:rsidRPr="00E025F6">
        <w:rPr>
          <w:sz w:val="24"/>
          <w:szCs w:val="24"/>
        </w:rPr>
        <w:lastRenderedPageBreak/>
        <w:t xml:space="preserve">art.59 Encerramento da fase probatória da investigação 04 de abril de 2017 </w:t>
      </w:r>
    </w:p>
    <w:p w:rsidR="00505368" w:rsidRDefault="00D02292" w:rsidP="00E025F6">
      <w:pPr>
        <w:shd w:val="clear" w:color="auto" w:fill="FFFFFF"/>
        <w:spacing w:after="0" w:line="240" w:lineRule="auto"/>
        <w:rPr>
          <w:sz w:val="24"/>
          <w:szCs w:val="24"/>
        </w:rPr>
      </w:pPr>
      <w:r w:rsidRPr="00E025F6">
        <w:rPr>
          <w:sz w:val="24"/>
          <w:szCs w:val="24"/>
        </w:rPr>
        <w:t xml:space="preserve">art. 60 Encerramento da fase de manifestação sobre os dados e as informações constantes dos autos 24 de abril de 2017 </w:t>
      </w:r>
    </w:p>
    <w:p w:rsidR="00505368" w:rsidRDefault="00D02292" w:rsidP="00E025F6">
      <w:pPr>
        <w:shd w:val="clear" w:color="auto" w:fill="FFFFFF"/>
        <w:spacing w:after="0" w:line="240" w:lineRule="auto"/>
        <w:rPr>
          <w:sz w:val="24"/>
          <w:szCs w:val="24"/>
        </w:rPr>
      </w:pPr>
      <w:r w:rsidRPr="00E025F6">
        <w:rPr>
          <w:sz w:val="24"/>
          <w:szCs w:val="24"/>
        </w:rPr>
        <w:t xml:space="preserve">art. 61 Divulgação da nota técnica contendo os fatos essenciais que se encontram em análise e que serão considerados na determinação final 15 de maio de 2017 </w:t>
      </w:r>
    </w:p>
    <w:p w:rsidR="00505368" w:rsidRDefault="00D02292" w:rsidP="00E025F6">
      <w:pPr>
        <w:shd w:val="clear" w:color="auto" w:fill="FFFFFF"/>
        <w:spacing w:after="0" w:line="240" w:lineRule="auto"/>
        <w:rPr>
          <w:sz w:val="24"/>
          <w:szCs w:val="24"/>
        </w:rPr>
      </w:pPr>
      <w:r w:rsidRPr="00E025F6">
        <w:rPr>
          <w:sz w:val="24"/>
          <w:szCs w:val="24"/>
        </w:rPr>
        <w:t xml:space="preserve">art. 62 Encerramento do prazo para apresentação das manifestações finais pelas partes interessadas e Encerramento da fase de instrução do processo 03 de junho de 2017 </w:t>
      </w:r>
    </w:p>
    <w:p w:rsidR="00505368" w:rsidRDefault="00D02292" w:rsidP="00E025F6">
      <w:pPr>
        <w:shd w:val="clear" w:color="auto" w:fill="FFFFFF"/>
        <w:spacing w:after="0" w:line="240" w:lineRule="auto"/>
        <w:rPr>
          <w:sz w:val="24"/>
          <w:szCs w:val="24"/>
        </w:rPr>
      </w:pPr>
      <w:r w:rsidRPr="00E025F6">
        <w:rPr>
          <w:sz w:val="24"/>
          <w:szCs w:val="24"/>
        </w:rPr>
        <w:t xml:space="preserve">art. 63 Expedição, pelo DECOM, do parecer de determinação final 18 de junho de 2017 </w:t>
      </w:r>
    </w:p>
    <w:p w:rsidR="00505368" w:rsidRDefault="00505368" w:rsidP="00E025F6">
      <w:pPr>
        <w:shd w:val="clear" w:color="auto" w:fill="FFFFFF"/>
        <w:spacing w:after="0" w:line="240" w:lineRule="auto"/>
        <w:rPr>
          <w:sz w:val="24"/>
          <w:szCs w:val="24"/>
        </w:rPr>
      </w:pPr>
    </w:p>
    <w:p w:rsidR="00D02292" w:rsidRPr="00E025F6" w:rsidRDefault="00D02292" w:rsidP="00E025F6">
      <w:pPr>
        <w:shd w:val="clear" w:color="auto" w:fill="FFFFFF"/>
        <w:spacing w:after="0" w:line="240" w:lineRule="auto"/>
        <w:rPr>
          <w:sz w:val="24"/>
          <w:szCs w:val="24"/>
        </w:rPr>
      </w:pPr>
      <w:r w:rsidRPr="00E025F6">
        <w:rPr>
          <w:sz w:val="24"/>
          <w:szCs w:val="24"/>
        </w:rPr>
        <w:t>ABRÃO MIGUEL ÁRABE NETO</w:t>
      </w:r>
    </w:p>
    <w:p w:rsidR="00D02292" w:rsidRDefault="00D02292" w:rsidP="003E5B89">
      <w:pPr>
        <w:shd w:val="clear" w:color="auto" w:fill="FFFFFF"/>
        <w:spacing w:after="0" w:line="240" w:lineRule="auto"/>
        <w:jc w:val="center"/>
      </w:pPr>
    </w:p>
    <w:p w:rsidR="00D02292" w:rsidRDefault="00D02292" w:rsidP="003E5B89">
      <w:pPr>
        <w:shd w:val="clear" w:color="auto" w:fill="FFFFFF"/>
        <w:spacing w:after="0" w:line="240" w:lineRule="auto"/>
        <w:jc w:val="center"/>
      </w:pPr>
    </w:p>
    <w:p w:rsidR="00D02292" w:rsidRPr="00505368" w:rsidRDefault="00D02292" w:rsidP="00505368">
      <w:pPr>
        <w:spacing w:after="0" w:line="240" w:lineRule="auto"/>
        <w:jc w:val="center"/>
        <w:textAlignment w:val="top"/>
        <w:rPr>
          <w:rFonts w:eastAsia="Times New Roman" w:cs="Times New Roman"/>
          <w:b/>
          <w:color w:val="0D2731"/>
          <w:sz w:val="24"/>
          <w:szCs w:val="24"/>
          <w:lang w:eastAsia="pt-BR"/>
        </w:rPr>
      </w:pPr>
      <w:r w:rsidRPr="00505368">
        <w:rPr>
          <w:rFonts w:eastAsia="Times New Roman" w:cs="Times New Roman"/>
          <w:b/>
          <w:color w:val="0D2731"/>
          <w:sz w:val="24"/>
          <w:szCs w:val="24"/>
          <w:lang w:eastAsia="pt-BR"/>
        </w:rPr>
        <w:t>RESOLUÇÃO</w:t>
      </w:r>
      <w:r w:rsidR="00505368">
        <w:rPr>
          <w:rFonts w:eastAsia="Times New Roman" w:cs="Times New Roman"/>
          <w:b/>
          <w:color w:val="0D2731"/>
          <w:sz w:val="24"/>
          <w:szCs w:val="24"/>
          <w:lang w:eastAsia="pt-BR"/>
        </w:rPr>
        <w:t xml:space="preserve"> CAM</w:t>
      </w:r>
      <w:r w:rsidR="00505368" w:rsidRPr="00505368">
        <w:rPr>
          <w:rFonts w:eastAsia="Times New Roman" w:cs="Times New Roman"/>
          <w:b/>
          <w:color w:val="0D2731"/>
          <w:sz w:val="24"/>
          <w:szCs w:val="24"/>
          <w:lang w:eastAsia="pt-BR"/>
        </w:rPr>
        <w:t>EX</w:t>
      </w:r>
      <w:r w:rsidRPr="00505368">
        <w:rPr>
          <w:rFonts w:eastAsia="Times New Roman" w:cs="Times New Roman"/>
          <w:b/>
          <w:color w:val="0D2731"/>
          <w:sz w:val="24"/>
          <w:szCs w:val="24"/>
          <w:lang w:eastAsia="pt-BR"/>
        </w:rPr>
        <w:t xml:space="preserve"> N</w:t>
      </w:r>
      <w:r w:rsidRPr="00505368">
        <w:rPr>
          <w:rFonts w:eastAsia="Times New Roman" w:cs="Times New Roman"/>
          <w:b/>
          <w:strike/>
          <w:color w:val="0D2731"/>
          <w:sz w:val="24"/>
          <w:szCs w:val="24"/>
          <w:bdr w:val="none" w:sz="0" w:space="0" w:color="auto" w:frame="1"/>
          <w:lang w:eastAsia="pt-BR"/>
        </w:rPr>
        <w:t>º</w:t>
      </w:r>
      <w:r w:rsidRPr="00505368">
        <w:rPr>
          <w:rFonts w:eastAsia="Times New Roman" w:cs="Times New Roman"/>
          <w:b/>
          <w:color w:val="0D2731"/>
          <w:sz w:val="24"/>
          <w:szCs w:val="24"/>
          <w:lang w:eastAsia="pt-BR"/>
        </w:rPr>
        <w:t> 126, DE 22 DE DEZEMBRO DE 2016</w:t>
      </w:r>
      <w:r w:rsidR="00505368" w:rsidRPr="00505368">
        <w:rPr>
          <w:rFonts w:eastAsia="Times New Roman" w:cs="Times New Roman"/>
          <w:b/>
          <w:color w:val="0D2731"/>
          <w:sz w:val="24"/>
          <w:szCs w:val="24"/>
          <w:lang w:eastAsia="pt-BR"/>
        </w:rPr>
        <w:t xml:space="preserve"> (DOU</w:t>
      </w:r>
      <w:r w:rsidR="00505368">
        <w:rPr>
          <w:rFonts w:eastAsia="Times New Roman" w:cs="Times New Roman"/>
          <w:b/>
          <w:color w:val="0D2731"/>
          <w:sz w:val="24"/>
          <w:szCs w:val="24"/>
          <w:lang w:eastAsia="pt-BR"/>
        </w:rPr>
        <w:t xml:space="preserve"> 2</w:t>
      </w:r>
      <w:r w:rsidR="00F3268E">
        <w:rPr>
          <w:rFonts w:eastAsia="Times New Roman" w:cs="Times New Roman"/>
          <w:b/>
          <w:color w:val="0D2731"/>
          <w:sz w:val="24"/>
          <w:szCs w:val="24"/>
          <w:lang w:eastAsia="pt-BR"/>
        </w:rPr>
        <w:t>3</w:t>
      </w:r>
      <w:r w:rsidR="00505368">
        <w:rPr>
          <w:rFonts w:eastAsia="Times New Roman" w:cs="Times New Roman"/>
          <w:b/>
          <w:color w:val="0D2731"/>
          <w:sz w:val="24"/>
          <w:szCs w:val="24"/>
          <w:lang w:eastAsia="pt-BR"/>
        </w:rPr>
        <w:t>/12/2016)</w:t>
      </w:r>
    </w:p>
    <w:p w:rsidR="00505368" w:rsidRDefault="00505368" w:rsidP="00505368">
      <w:pPr>
        <w:spacing w:after="240" w:line="240" w:lineRule="auto"/>
        <w:textAlignment w:val="top"/>
        <w:rPr>
          <w:rFonts w:eastAsia="Times New Roman" w:cs="Times New Roman"/>
          <w:color w:val="000000"/>
          <w:sz w:val="24"/>
          <w:szCs w:val="24"/>
          <w:lang w:eastAsia="pt-BR"/>
        </w:rPr>
      </w:pPr>
    </w:p>
    <w:p w:rsidR="00D02292" w:rsidRPr="00505368" w:rsidRDefault="00D02292" w:rsidP="00505368">
      <w:pPr>
        <w:spacing w:after="24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Prorroga direito antidumping definitivo, por um prazo de até 5 (cinco) anos, às importações brasileiras de objetos de vidro para mesa originárias da República Popular da China, Indonésia e Argentina.</w:t>
      </w:r>
    </w:p>
    <w:p w:rsidR="00D02292" w:rsidRPr="00505368" w:rsidRDefault="00D02292" w:rsidP="00505368">
      <w:pPr>
        <w:spacing w:after="0" w:line="240" w:lineRule="auto"/>
        <w:textAlignment w:val="top"/>
        <w:rPr>
          <w:rFonts w:eastAsia="Times New Roman" w:cs="Times New Roman"/>
          <w:color w:val="000000"/>
          <w:sz w:val="24"/>
          <w:szCs w:val="24"/>
          <w:lang w:eastAsia="pt-BR"/>
        </w:rPr>
      </w:pPr>
      <w:r w:rsidRPr="00505368">
        <w:rPr>
          <w:rFonts w:eastAsia="Times New Roman" w:cs="Times New Roman"/>
          <w:b/>
          <w:bCs/>
          <w:color w:val="000000"/>
          <w:sz w:val="24"/>
          <w:szCs w:val="24"/>
          <w:bdr w:val="none" w:sz="0" w:space="0" w:color="auto" w:frame="1"/>
          <w:lang w:eastAsia="pt-BR"/>
        </w:rPr>
        <w:t>O COMITÊ EXECUTIVO DE GESTÃO – GECEX – DA CÂMARA DE COMÉRCIO EXTERIOR – CAMEX</w:t>
      </w:r>
      <w:r w:rsidRPr="00505368">
        <w:rPr>
          <w:rFonts w:eastAsia="Times New Roman" w:cs="Times New Roman"/>
          <w:color w:val="000000"/>
          <w:sz w:val="24"/>
          <w:szCs w:val="24"/>
          <w:lang w:eastAsia="pt-BR"/>
        </w:rPr>
        <w:t>, por intermédio de seu Presidente, interino, no uso da atribuição que lhe confere o § 8</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do art. 5</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do Decreto n</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4.732, de 10 de junho de 2003, para o exercício da competência designada no inciso II do § 4</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do mesmo dispositivo, e com fundamento no inciso XV do art. 2</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do mesmo diploma legal, bem como o inciso II do art. 18 do Anexo da Resolução CAMEX n</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77, de 21 de setembro de 2016,</w:t>
      </w:r>
    </w:p>
    <w:p w:rsidR="00D02292" w:rsidRPr="00505368" w:rsidRDefault="00D02292" w:rsidP="00505368">
      <w:pPr>
        <w:spacing w:after="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 </w:t>
      </w:r>
    </w:p>
    <w:p w:rsidR="00D02292" w:rsidRPr="00505368" w:rsidRDefault="00D02292" w:rsidP="00505368">
      <w:pPr>
        <w:spacing w:after="240" w:line="240" w:lineRule="auto"/>
        <w:textAlignment w:val="top"/>
        <w:rPr>
          <w:rFonts w:eastAsia="Times New Roman" w:cs="Times New Roman"/>
          <w:color w:val="000000"/>
          <w:sz w:val="24"/>
          <w:szCs w:val="24"/>
          <w:lang w:eastAsia="pt-BR"/>
        </w:rPr>
      </w:pPr>
      <w:r w:rsidRPr="00505368">
        <w:rPr>
          <w:rFonts w:eastAsia="Times New Roman" w:cs="Times New Roman"/>
          <w:b/>
          <w:bCs/>
          <w:color w:val="000000"/>
          <w:sz w:val="24"/>
          <w:szCs w:val="24"/>
          <w:bdr w:val="none" w:sz="0" w:space="0" w:color="auto" w:frame="1"/>
          <w:lang w:eastAsia="pt-BR"/>
        </w:rPr>
        <w:t>CONSIDERANDO</w:t>
      </w:r>
      <w:r w:rsidRPr="00505368">
        <w:rPr>
          <w:rFonts w:eastAsia="Times New Roman" w:cs="Times New Roman"/>
          <w:color w:val="000000"/>
          <w:sz w:val="24"/>
          <w:szCs w:val="24"/>
          <w:lang w:eastAsia="pt-BR"/>
        </w:rPr>
        <w:t> o que consta dos autos do processo MDIC/SECEX 52272.001741/2015-04,</w:t>
      </w:r>
    </w:p>
    <w:p w:rsidR="00D02292" w:rsidRPr="00505368" w:rsidRDefault="00D02292" w:rsidP="00505368">
      <w:pPr>
        <w:spacing w:after="240" w:line="240" w:lineRule="auto"/>
        <w:textAlignment w:val="top"/>
        <w:rPr>
          <w:rFonts w:eastAsia="Times New Roman" w:cs="Times New Roman"/>
          <w:color w:val="000000"/>
          <w:sz w:val="24"/>
          <w:szCs w:val="24"/>
          <w:lang w:eastAsia="pt-BR"/>
        </w:rPr>
      </w:pPr>
      <w:r w:rsidRPr="00505368">
        <w:rPr>
          <w:rFonts w:eastAsia="Times New Roman" w:cs="Times New Roman"/>
          <w:b/>
          <w:bCs/>
          <w:color w:val="000000"/>
          <w:sz w:val="24"/>
          <w:szCs w:val="24"/>
          <w:bdr w:val="none" w:sz="0" w:space="0" w:color="auto" w:frame="1"/>
          <w:lang w:eastAsia="pt-BR"/>
        </w:rPr>
        <w:t xml:space="preserve">RESOLVE, ad </w:t>
      </w:r>
      <w:proofErr w:type="spellStart"/>
      <w:r w:rsidRPr="00505368">
        <w:rPr>
          <w:rFonts w:eastAsia="Times New Roman" w:cs="Times New Roman"/>
          <w:b/>
          <w:bCs/>
          <w:color w:val="000000"/>
          <w:sz w:val="24"/>
          <w:szCs w:val="24"/>
          <w:bdr w:val="none" w:sz="0" w:space="0" w:color="auto" w:frame="1"/>
          <w:lang w:eastAsia="pt-BR"/>
        </w:rPr>
        <w:t>referendum</w:t>
      </w:r>
      <w:r w:rsidRPr="00505368">
        <w:rPr>
          <w:rFonts w:eastAsia="Times New Roman" w:cs="Times New Roman"/>
          <w:color w:val="000000"/>
          <w:sz w:val="24"/>
          <w:szCs w:val="24"/>
          <w:lang w:eastAsia="pt-BR"/>
        </w:rPr>
        <w:t>do</w:t>
      </w:r>
      <w:proofErr w:type="spellEnd"/>
      <w:r w:rsidRPr="00505368">
        <w:rPr>
          <w:rFonts w:eastAsia="Times New Roman" w:cs="Times New Roman"/>
          <w:color w:val="000000"/>
          <w:sz w:val="24"/>
          <w:szCs w:val="24"/>
          <w:lang w:eastAsia="pt-BR"/>
        </w:rPr>
        <w:t xml:space="preserve"> Conselho:</w:t>
      </w:r>
    </w:p>
    <w:p w:rsidR="00D02292" w:rsidRPr="00D02292" w:rsidRDefault="00D02292" w:rsidP="00505368">
      <w:pPr>
        <w:spacing w:after="0" w:line="240" w:lineRule="auto"/>
        <w:textAlignment w:val="top"/>
        <w:rPr>
          <w:rFonts w:ascii="Trebuchet MS" w:eastAsia="Times New Roman" w:hAnsi="Trebuchet MS" w:cs="Times New Roman"/>
          <w:color w:val="000000"/>
          <w:sz w:val="18"/>
          <w:szCs w:val="18"/>
          <w:lang w:eastAsia="pt-BR"/>
        </w:rPr>
      </w:pPr>
      <w:r w:rsidRPr="00505368">
        <w:rPr>
          <w:rFonts w:eastAsia="Times New Roman" w:cs="Times New Roman"/>
          <w:color w:val="000000"/>
          <w:sz w:val="24"/>
          <w:szCs w:val="24"/>
          <w:lang w:eastAsia="pt-BR"/>
        </w:rPr>
        <w:t>Art. 1</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xml:space="preserve">  Prorrogar a aplicação do direito antidumping definitivo, por um prazo de até 5 (cinco) anos, aplicado às importações brasileiras de objetos de vidro para mesa, comumente classificados nos itens 7013.49.00, 7013.28.00 e 7013.37.00 da Nomenclatura Comum do Mercosul – NCM, originárias da Argentina, China e Indonésia, a ser recolhido sob a forma de alíquota específica variável, no caso do produtor/exportador </w:t>
      </w:r>
      <w:proofErr w:type="spellStart"/>
      <w:r w:rsidRPr="00505368">
        <w:rPr>
          <w:rFonts w:eastAsia="Times New Roman" w:cs="Times New Roman"/>
          <w:color w:val="000000"/>
          <w:sz w:val="24"/>
          <w:szCs w:val="24"/>
          <w:lang w:eastAsia="pt-BR"/>
        </w:rPr>
        <w:t>Rigolleau</w:t>
      </w:r>
      <w:proofErr w:type="spellEnd"/>
      <w:r w:rsidRPr="00505368">
        <w:rPr>
          <w:rFonts w:eastAsia="Times New Roman" w:cs="Times New Roman"/>
          <w:color w:val="000000"/>
          <w:sz w:val="24"/>
          <w:szCs w:val="24"/>
          <w:lang w:eastAsia="pt-BR"/>
        </w:rPr>
        <w:t xml:space="preserve"> S.A., da Argentina, e fixa, no caso dos demais produtores/exportadores argentinos e dos produtores/exportadores da República Popular da China e da Indonésia, nos montantes abaixo especificados:</w:t>
      </w:r>
    </w:p>
    <w:p w:rsidR="00D02292" w:rsidRPr="00D02292" w:rsidRDefault="00D02292" w:rsidP="00D02292">
      <w:pPr>
        <w:spacing w:after="0" w:line="240" w:lineRule="auto"/>
        <w:textAlignment w:val="top"/>
        <w:rPr>
          <w:rFonts w:ascii="Trebuchet MS" w:eastAsia="Times New Roman" w:hAnsi="Trebuchet MS" w:cs="Times New Roman"/>
          <w:color w:val="000000"/>
          <w:sz w:val="18"/>
          <w:szCs w:val="18"/>
          <w:lang w:eastAsia="pt-BR"/>
        </w:rPr>
      </w:pPr>
      <w:r w:rsidRPr="00D02292">
        <w:rPr>
          <w:rFonts w:ascii="Trebuchet MS" w:eastAsia="Times New Roman" w:hAnsi="Trebuchet MS" w:cs="Times New Roman"/>
          <w:b/>
          <w:bCs/>
          <w:color w:val="000000"/>
          <w:sz w:val="18"/>
          <w:szCs w:val="18"/>
          <w:bdr w:val="none" w:sz="0" w:space="0" w:color="auto" w:frame="1"/>
          <w:lang w:eastAsia="pt-BR"/>
        </w:rPr>
        <w:t> </w:t>
      </w:r>
    </w:p>
    <w:tbl>
      <w:tblPr>
        <w:tblW w:w="10785" w:type="dxa"/>
        <w:tblCellMar>
          <w:left w:w="0" w:type="dxa"/>
          <w:right w:w="0" w:type="dxa"/>
        </w:tblCellMar>
        <w:tblLook w:val="04A0" w:firstRow="1" w:lastRow="0" w:firstColumn="1" w:lastColumn="0" w:noHBand="0" w:noVBand="1"/>
      </w:tblPr>
      <w:tblGrid>
        <w:gridCol w:w="2751"/>
        <w:gridCol w:w="4952"/>
        <w:gridCol w:w="3082"/>
      </w:tblGrid>
      <w:tr w:rsidR="00D02292" w:rsidRPr="00D02292" w:rsidTr="00D02292">
        <w:tc>
          <w:tcPr>
            <w:tcW w:w="12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02292" w:rsidRPr="00D02292" w:rsidRDefault="00D02292" w:rsidP="00D02292">
            <w:pPr>
              <w:spacing w:after="0" w:line="360" w:lineRule="atLeast"/>
              <w:jc w:val="center"/>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b/>
                <w:bCs/>
                <w:color w:val="0D2731"/>
                <w:sz w:val="18"/>
                <w:szCs w:val="18"/>
                <w:bdr w:val="none" w:sz="0" w:space="0" w:color="auto" w:frame="1"/>
                <w:lang w:eastAsia="pt-BR"/>
              </w:rPr>
              <w:t>País</w:t>
            </w:r>
          </w:p>
        </w:tc>
        <w:tc>
          <w:tcPr>
            <w:tcW w:w="22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02292" w:rsidRPr="00D02292" w:rsidRDefault="00D02292" w:rsidP="00D02292">
            <w:pPr>
              <w:spacing w:after="0" w:line="360" w:lineRule="atLeast"/>
              <w:jc w:val="center"/>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b/>
                <w:bCs/>
                <w:color w:val="0D2731"/>
                <w:sz w:val="18"/>
                <w:szCs w:val="18"/>
                <w:bdr w:val="none" w:sz="0" w:space="0" w:color="auto" w:frame="1"/>
                <w:lang w:eastAsia="pt-BR"/>
              </w:rPr>
              <w:t>Produtor/Exportador</w:t>
            </w:r>
          </w:p>
        </w:tc>
        <w:tc>
          <w:tcPr>
            <w:tcW w:w="14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02292" w:rsidRPr="00D02292" w:rsidRDefault="00D02292" w:rsidP="00D02292">
            <w:pPr>
              <w:spacing w:after="0" w:line="360" w:lineRule="atLeast"/>
              <w:jc w:val="center"/>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b/>
                <w:bCs/>
                <w:color w:val="0D2731"/>
                <w:sz w:val="18"/>
                <w:szCs w:val="18"/>
                <w:bdr w:val="none" w:sz="0" w:space="0" w:color="auto" w:frame="1"/>
                <w:lang w:eastAsia="pt-BR"/>
              </w:rPr>
              <w:t>Direito Antidumping Definitivo (US$/kg)</w:t>
            </w:r>
          </w:p>
          <w:p w:rsidR="00D02292" w:rsidRPr="00D02292" w:rsidRDefault="00D02292" w:rsidP="00D02292">
            <w:pPr>
              <w:spacing w:after="0" w:line="360" w:lineRule="atLeast"/>
              <w:jc w:val="center"/>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b/>
                <w:bCs/>
                <w:color w:val="0D2731"/>
                <w:sz w:val="18"/>
                <w:szCs w:val="18"/>
                <w:bdr w:val="none" w:sz="0" w:space="0" w:color="auto" w:frame="1"/>
                <w:lang w:eastAsia="pt-BR"/>
              </w:rPr>
              <w:t> </w:t>
            </w:r>
          </w:p>
        </w:tc>
      </w:tr>
      <w:tr w:rsidR="00D02292" w:rsidRPr="00D02292" w:rsidTr="00D02292">
        <w:tc>
          <w:tcPr>
            <w:tcW w:w="1250" w:type="pct"/>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02292" w:rsidRPr="00D02292" w:rsidRDefault="00D02292" w:rsidP="00D02292">
            <w:pPr>
              <w:spacing w:after="0" w:line="360" w:lineRule="atLeast"/>
              <w:jc w:val="center"/>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color w:val="0D2731"/>
                <w:sz w:val="18"/>
                <w:szCs w:val="18"/>
                <w:lang w:eastAsia="pt-BR"/>
              </w:rPr>
              <w:t>Argentina</w:t>
            </w:r>
          </w:p>
          <w:p w:rsidR="00D02292" w:rsidRPr="00D02292" w:rsidRDefault="00D02292" w:rsidP="00D02292">
            <w:pPr>
              <w:spacing w:after="0" w:line="360" w:lineRule="atLeast"/>
              <w:jc w:val="center"/>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color w:val="0D2731"/>
                <w:sz w:val="18"/>
                <w:szCs w:val="18"/>
                <w:lang w:eastAsia="pt-BR"/>
              </w:rPr>
              <w:t> </w:t>
            </w:r>
          </w:p>
        </w:tc>
        <w:tc>
          <w:tcPr>
            <w:tcW w:w="22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02292" w:rsidRPr="00D02292" w:rsidRDefault="00D02292" w:rsidP="00D02292">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D02292">
              <w:rPr>
                <w:rFonts w:ascii="Trebuchet MS" w:eastAsia="Times New Roman" w:hAnsi="Trebuchet MS" w:cs="Times New Roman"/>
                <w:color w:val="0D2731"/>
                <w:sz w:val="18"/>
                <w:szCs w:val="18"/>
                <w:lang w:eastAsia="pt-BR"/>
              </w:rPr>
              <w:t>Rigolleau</w:t>
            </w:r>
            <w:proofErr w:type="spellEnd"/>
            <w:r w:rsidRPr="00D02292">
              <w:rPr>
                <w:rFonts w:ascii="Trebuchet MS" w:eastAsia="Times New Roman" w:hAnsi="Trebuchet MS" w:cs="Times New Roman"/>
                <w:color w:val="0D2731"/>
                <w:sz w:val="18"/>
                <w:szCs w:val="18"/>
                <w:lang w:eastAsia="pt-BR"/>
              </w:rPr>
              <w:t xml:space="preserve"> S.A.</w:t>
            </w:r>
          </w:p>
        </w:tc>
        <w:tc>
          <w:tcPr>
            <w:tcW w:w="14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02292" w:rsidRPr="00D02292" w:rsidRDefault="00D02292" w:rsidP="00D02292">
            <w:pPr>
              <w:spacing w:after="0" w:line="360" w:lineRule="atLeast"/>
              <w:jc w:val="center"/>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color w:val="0D2731"/>
                <w:sz w:val="18"/>
                <w:szCs w:val="18"/>
                <w:lang w:eastAsia="pt-BR"/>
              </w:rPr>
              <w:t>De 0,00 a 0,18</w:t>
            </w:r>
          </w:p>
        </w:tc>
      </w:tr>
      <w:tr w:rsidR="00D02292" w:rsidRPr="00D02292" w:rsidTr="00D02292">
        <w:tc>
          <w:tcPr>
            <w:tcW w:w="0" w:type="auto"/>
            <w:vMerge/>
            <w:tcBorders>
              <w:top w:val="single" w:sz="6" w:space="0" w:color="6196A5"/>
              <w:left w:val="single" w:sz="6" w:space="0" w:color="6196A5"/>
              <w:bottom w:val="single" w:sz="6" w:space="0" w:color="6196A5"/>
              <w:right w:val="single" w:sz="6" w:space="0" w:color="6196A5"/>
            </w:tcBorders>
            <w:hideMark/>
          </w:tcPr>
          <w:p w:rsidR="00D02292" w:rsidRPr="00D02292" w:rsidRDefault="00D02292" w:rsidP="00D02292">
            <w:pPr>
              <w:spacing w:after="0" w:line="240" w:lineRule="auto"/>
              <w:jc w:val="left"/>
              <w:rPr>
                <w:rFonts w:ascii="Trebuchet MS" w:eastAsia="Times New Roman" w:hAnsi="Trebuchet MS" w:cs="Times New Roman"/>
                <w:color w:val="0D2731"/>
                <w:sz w:val="18"/>
                <w:szCs w:val="18"/>
                <w:lang w:eastAsia="pt-BR"/>
              </w:rPr>
            </w:pPr>
          </w:p>
        </w:tc>
        <w:tc>
          <w:tcPr>
            <w:tcW w:w="22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02292" w:rsidRPr="00D02292" w:rsidRDefault="00D02292" w:rsidP="00D02292">
            <w:pPr>
              <w:spacing w:after="0" w:line="360" w:lineRule="atLeast"/>
              <w:jc w:val="left"/>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color w:val="0D2731"/>
                <w:sz w:val="18"/>
                <w:szCs w:val="18"/>
                <w:lang w:eastAsia="pt-BR"/>
              </w:rPr>
              <w:t>Demais</w:t>
            </w:r>
          </w:p>
        </w:tc>
        <w:tc>
          <w:tcPr>
            <w:tcW w:w="14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02292" w:rsidRPr="00D02292" w:rsidRDefault="00D02292" w:rsidP="00D02292">
            <w:pPr>
              <w:spacing w:after="0" w:line="360" w:lineRule="atLeast"/>
              <w:jc w:val="center"/>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color w:val="0D2731"/>
                <w:sz w:val="18"/>
                <w:szCs w:val="18"/>
                <w:lang w:eastAsia="pt-BR"/>
              </w:rPr>
              <w:t>0,37</w:t>
            </w:r>
          </w:p>
        </w:tc>
      </w:tr>
      <w:tr w:rsidR="00D02292" w:rsidRPr="00D02292" w:rsidTr="00D02292">
        <w:tc>
          <w:tcPr>
            <w:tcW w:w="12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02292" w:rsidRPr="00D02292" w:rsidRDefault="00D02292" w:rsidP="00D02292">
            <w:pPr>
              <w:spacing w:after="0" w:line="360" w:lineRule="atLeast"/>
              <w:jc w:val="center"/>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color w:val="0D2731"/>
                <w:sz w:val="18"/>
                <w:szCs w:val="18"/>
                <w:lang w:eastAsia="pt-BR"/>
              </w:rPr>
              <w:t>China</w:t>
            </w:r>
          </w:p>
        </w:tc>
        <w:tc>
          <w:tcPr>
            <w:tcW w:w="22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02292" w:rsidRPr="00D02292" w:rsidRDefault="00D02292" w:rsidP="00D02292">
            <w:pPr>
              <w:spacing w:after="0" w:line="360" w:lineRule="atLeast"/>
              <w:jc w:val="left"/>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color w:val="0D2731"/>
                <w:sz w:val="18"/>
                <w:szCs w:val="18"/>
                <w:lang w:eastAsia="pt-BR"/>
              </w:rPr>
              <w:t>Todos os produtores/exportadores da China</w:t>
            </w:r>
          </w:p>
        </w:tc>
        <w:tc>
          <w:tcPr>
            <w:tcW w:w="14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02292" w:rsidRPr="00D02292" w:rsidRDefault="00D02292" w:rsidP="00D02292">
            <w:pPr>
              <w:spacing w:after="0" w:line="360" w:lineRule="atLeast"/>
              <w:jc w:val="center"/>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color w:val="0D2731"/>
                <w:sz w:val="18"/>
                <w:szCs w:val="18"/>
                <w:lang w:eastAsia="pt-BR"/>
              </w:rPr>
              <w:t>1,70</w:t>
            </w:r>
          </w:p>
        </w:tc>
      </w:tr>
      <w:tr w:rsidR="00D02292" w:rsidRPr="00D02292" w:rsidTr="00D02292">
        <w:tc>
          <w:tcPr>
            <w:tcW w:w="12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02292" w:rsidRPr="00D02292" w:rsidRDefault="00D02292" w:rsidP="00D02292">
            <w:pPr>
              <w:spacing w:after="0" w:line="360" w:lineRule="atLeast"/>
              <w:jc w:val="center"/>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color w:val="0D2731"/>
                <w:sz w:val="18"/>
                <w:szCs w:val="18"/>
                <w:lang w:eastAsia="pt-BR"/>
              </w:rPr>
              <w:t>Indonésia</w:t>
            </w:r>
          </w:p>
        </w:tc>
        <w:tc>
          <w:tcPr>
            <w:tcW w:w="22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02292" w:rsidRPr="00D02292" w:rsidRDefault="00D02292" w:rsidP="00D02292">
            <w:pPr>
              <w:spacing w:after="0" w:line="360" w:lineRule="atLeast"/>
              <w:jc w:val="left"/>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color w:val="0D2731"/>
                <w:sz w:val="18"/>
                <w:szCs w:val="18"/>
                <w:lang w:eastAsia="pt-BR"/>
              </w:rPr>
              <w:t>Todos os produtores/exportadores da Indonésia</w:t>
            </w:r>
          </w:p>
        </w:tc>
        <w:tc>
          <w:tcPr>
            <w:tcW w:w="14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02292" w:rsidRPr="00D02292" w:rsidRDefault="00D02292" w:rsidP="00D02292">
            <w:pPr>
              <w:spacing w:after="0" w:line="360" w:lineRule="atLeast"/>
              <w:jc w:val="center"/>
              <w:textAlignment w:val="top"/>
              <w:rPr>
                <w:rFonts w:ascii="Trebuchet MS" w:eastAsia="Times New Roman" w:hAnsi="Trebuchet MS" w:cs="Times New Roman"/>
                <w:color w:val="0D2731"/>
                <w:sz w:val="18"/>
                <w:szCs w:val="18"/>
                <w:lang w:eastAsia="pt-BR"/>
              </w:rPr>
            </w:pPr>
            <w:r w:rsidRPr="00D02292">
              <w:rPr>
                <w:rFonts w:ascii="Trebuchet MS" w:eastAsia="Times New Roman" w:hAnsi="Trebuchet MS" w:cs="Times New Roman"/>
                <w:color w:val="0D2731"/>
                <w:sz w:val="18"/>
                <w:szCs w:val="18"/>
                <w:lang w:eastAsia="pt-BR"/>
              </w:rPr>
              <w:t>0,15</w:t>
            </w:r>
          </w:p>
        </w:tc>
      </w:tr>
    </w:tbl>
    <w:p w:rsidR="00D02292" w:rsidRPr="00505368" w:rsidRDefault="00D02292" w:rsidP="00505368">
      <w:pPr>
        <w:spacing w:after="240" w:line="240" w:lineRule="auto"/>
        <w:textAlignment w:val="top"/>
        <w:rPr>
          <w:rFonts w:eastAsia="Times New Roman" w:cs="Times New Roman"/>
          <w:color w:val="000000"/>
          <w:sz w:val="24"/>
          <w:szCs w:val="24"/>
          <w:lang w:eastAsia="pt-BR"/>
        </w:rPr>
      </w:pPr>
      <w:r w:rsidRPr="00D02292">
        <w:rPr>
          <w:rFonts w:ascii="Trebuchet MS" w:eastAsia="Times New Roman" w:hAnsi="Trebuchet MS" w:cs="Times New Roman"/>
          <w:color w:val="000000"/>
          <w:sz w:val="18"/>
          <w:szCs w:val="18"/>
          <w:lang w:eastAsia="pt-BR"/>
        </w:rPr>
        <w:lastRenderedPageBreak/>
        <w:br/>
      </w:r>
      <w:r w:rsidRPr="00505368">
        <w:rPr>
          <w:rFonts w:eastAsia="Times New Roman" w:cs="Times New Roman"/>
          <w:color w:val="000000"/>
          <w:sz w:val="24"/>
          <w:szCs w:val="24"/>
          <w:lang w:eastAsia="pt-BR"/>
        </w:rPr>
        <w:t xml:space="preserve">Parágrafo único. O recolhimento do direito antidumping para as importações originárias da Argentina, no caso do produtor/exportador </w:t>
      </w:r>
      <w:proofErr w:type="spellStart"/>
      <w:r w:rsidRPr="00505368">
        <w:rPr>
          <w:rFonts w:eastAsia="Times New Roman" w:cs="Times New Roman"/>
          <w:color w:val="000000"/>
          <w:sz w:val="24"/>
          <w:szCs w:val="24"/>
          <w:lang w:eastAsia="pt-BR"/>
        </w:rPr>
        <w:t>Rigolleau</w:t>
      </w:r>
      <w:proofErr w:type="spellEnd"/>
      <w:r w:rsidRPr="00505368">
        <w:rPr>
          <w:rFonts w:eastAsia="Times New Roman" w:cs="Times New Roman"/>
          <w:color w:val="000000"/>
          <w:sz w:val="24"/>
          <w:szCs w:val="24"/>
          <w:lang w:eastAsia="pt-BR"/>
        </w:rPr>
        <w:t xml:space="preserve"> S.A., somente ocorrerá quando o preço de exportação dessa empresa para o Brasil, no local de embarque, for inferior a US$ 0,74/kg (setenta e quatro centavos de dólar estadunidense por quilograma). Nessa hipótese, o direito antidumping deverá corresponder à diferença entre US$ 0,74/kg e o referido preço de exportação, sendo o direito limitado a US$ 0,18/kg.</w:t>
      </w:r>
    </w:p>
    <w:p w:rsidR="00D02292" w:rsidRPr="00505368" w:rsidRDefault="00D02292" w:rsidP="00505368">
      <w:pPr>
        <w:spacing w:after="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Art. 2</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Estão excluídos do alcance desse direito antidumping os seguintes produtos:</w:t>
      </w:r>
    </w:p>
    <w:p w:rsidR="00D02292" w:rsidRPr="00505368" w:rsidRDefault="00D02292" w:rsidP="00505368">
      <w:pPr>
        <w:spacing w:after="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 </w:t>
      </w:r>
    </w:p>
    <w:p w:rsidR="00D02292" w:rsidRPr="00505368" w:rsidRDefault="00D02292" w:rsidP="00505368">
      <w:pPr>
        <w:spacing w:after="24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 xml:space="preserve">I - copos, </w:t>
      </w:r>
      <w:proofErr w:type="spellStart"/>
      <w:r w:rsidRPr="00505368">
        <w:rPr>
          <w:rFonts w:eastAsia="Times New Roman" w:cs="Times New Roman"/>
          <w:color w:val="000000"/>
          <w:sz w:val="24"/>
          <w:szCs w:val="24"/>
          <w:lang w:eastAsia="pt-BR"/>
        </w:rPr>
        <w:t>decânters</w:t>
      </w:r>
      <w:proofErr w:type="spellEnd"/>
      <w:r w:rsidRPr="00505368">
        <w:rPr>
          <w:rFonts w:eastAsia="Times New Roman" w:cs="Times New Roman"/>
          <w:color w:val="000000"/>
          <w:sz w:val="24"/>
          <w:szCs w:val="24"/>
          <w:lang w:eastAsia="pt-BR"/>
        </w:rPr>
        <w:t>, licoreiras, garrafas, moringas, travessas, jarras e vidros (potes, frascos, garrafas, copos) utilizados exclusivamente pela indústria alimentícia para armazenar conservas em geral (compotas, doces, patês, requeijão, etc.);</w:t>
      </w:r>
    </w:p>
    <w:p w:rsidR="00D02292" w:rsidRPr="00505368" w:rsidRDefault="00D02292" w:rsidP="00505368">
      <w:pPr>
        <w:spacing w:after="24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II - canecas com capacidade superior a 301 ml, comumente utilizadas para acondicionar cerveja; e</w:t>
      </w:r>
    </w:p>
    <w:p w:rsidR="00D02292" w:rsidRPr="00505368" w:rsidRDefault="00D02292" w:rsidP="00505368">
      <w:pPr>
        <w:spacing w:after="24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III - objetos de vidro para mesa produzidos com boro-silicatos (vidros refratários) e os descansos giratórios de travessas e centros de mesa giratórios de vidro, de acordo com o determinado na Resolução CAMEX n</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8, de 2011.</w:t>
      </w:r>
    </w:p>
    <w:p w:rsidR="00D02292" w:rsidRPr="00505368" w:rsidRDefault="00D02292" w:rsidP="00505368">
      <w:pPr>
        <w:spacing w:after="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Art. 3</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Tornar públicos os fatos que justificaram a decisão, conforme consta do Anexo.</w:t>
      </w:r>
    </w:p>
    <w:p w:rsidR="00D02292" w:rsidRPr="00505368" w:rsidRDefault="00D02292" w:rsidP="00505368">
      <w:pPr>
        <w:spacing w:after="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 </w:t>
      </w:r>
    </w:p>
    <w:p w:rsidR="00D02292" w:rsidRPr="00505368" w:rsidRDefault="00D02292" w:rsidP="00505368">
      <w:pPr>
        <w:spacing w:after="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Art. 4</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Esta Resolução entra em vigor na data de sua publicação.</w:t>
      </w:r>
    </w:p>
    <w:p w:rsidR="00D02292" w:rsidRPr="00505368" w:rsidRDefault="00D02292" w:rsidP="00505368">
      <w:pPr>
        <w:spacing w:after="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 </w:t>
      </w:r>
    </w:p>
    <w:p w:rsidR="00D02292" w:rsidRPr="00505368" w:rsidRDefault="00D02292" w:rsidP="00505368">
      <w:pPr>
        <w:spacing w:after="0" w:line="240" w:lineRule="auto"/>
        <w:textAlignment w:val="top"/>
        <w:rPr>
          <w:rFonts w:eastAsia="Times New Roman" w:cs="Times New Roman"/>
          <w:color w:val="000000"/>
          <w:sz w:val="24"/>
          <w:szCs w:val="24"/>
          <w:lang w:eastAsia="pt-BR"/>
        </w:rPr>
      </w:pPr>
      <w:r w:rsidRPr="00505368">
        <w:rPr>
          <w:rFonts w:eastAsia="Times New Roman" w:cs="Times New Roman"/>
          <w:b/>
          <w:bCs/>
          <w:color w:val="000000"/>
          <w:sz w:val="24"/>
          <w:szCs w:val="24"/>
          <w:bdr w:val="none" w:sz="0" w:space="0" w:color="auto" w:frame="1"/>
          <w:lang w:eastAsia="pt-BR"/>
        </w:rPr>
        <w:t>MARCOS BEZERRA ABBOTT GALVÃO</w:t>
      </w:r>
    </w:p>
    <w:p w:rsidR="00D02292" w:rsidRPr="00505368" w:rsidRDefault="00D02292" w:rsidP="00505368">
      <w:pPr>
        <w:spacing w:after="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 xml:space="preserve">Presidente, interino, do Comitê Executivo de Gestão – </w:t>
      </w:r>
      <w:proofErr w:type="spellStart"/>
      <w:r w:rsidRPr="00505368">
        <w:rPr>
          <w:rFonts w:eastAsia="Times New Roman" w:cs="Times New Roman"/>
          <w:color w:val="000000"/>
          <w:sz w:val="24"/>
          <w:szCs w:val="24"/>
          <w:lang w:eastAsia="pt-BR"/>
        </w:rPr>
        <w:t>Gecex</w:t>
      </w:r>
      <w:proofErr w:type="spellEnd"/>
    </w:p>
    <w:p w:rsidR="00D02292" w:rsidRPr="00505368" w:rsidRDefault="00D02292" w:rsidP="00505368">
      <w:pPr>
        <w:spacing w:after="0" w:line="240" w:lineRule="auto"/>
        <w:textAlignment w:val="top"/>
        <w:rPr>
          <w:rFonts w:eastAsia="Times New Roman" w:cs="Times New Roman"/>
          <w:color w:val="000000"/>
          <w:sz w:val="24"/>
          <w:szCs w:val="24"/>
          <w:lang w:eastAsia="pt-BR"/>
        </w:rPr>
      </w:pPr>
      <w:r w:rsidRPr="00505368">
        <w:rPr>
          <w:rFonts w:eastAsia="Times New Roman" w:cs="Times New Roman"/>
          <w:b/>
          <w:bCs/>
          <w:color w:val="000000"/>
          <w:sz w:val="24"/>
          <w:szCs w:val="24"/>
          <w:bdr w:val="none" w:sz="0" w:space="0" w:color="auto" w:frame="1"/>
          <w:lang w:eastAsia="pt-BR"/>
        </w:rPr>
        <w:br w:type="textWrapping" w:clear="all"/>
      </w:r>
    </w:p>
    <w:p w:rsidR="00D02292" w:rsidRPr="00505368" w:rsidRDefault="00D02292" w:rsidP="00505368">
      <w:pPr>
        <w:spacing w:after="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 </w:t>
      </w:r>
    </w:p>
    <w:p w:rsidR="00D02292" w:rsidRPr="00505368" w:rsidRDefault="00D02292" w:rsidP="00505368">
      <w:pPr>
        <w:shd w:val="clear" w:color="auto" w:fill="FFFFFF"/>
        <w:spacing w:after="0" w:line="240" w:lineRule="auto"/>
        <w:rPr>
          <w:sz w:val="24"/>
          <w:szCs w:val="24"/>
        </w:rPr>
      </w:pPr>
    </w:p>
    <w:p w:rsidR="00FC3B36" w:rsidRPr="00505368" w:rsidRDefault="00113BE3" w:rsidP="00505368">
      <w:pPr>
        <w:shd w:val="clear" w:color="auto" w:fill="FFFFFF"/>
        <w:spacing w:before="150" w:after="150" w:line="240" w:lineRule="auto"/>
        <w:textAlignment w:val="top"/>
        <w:rPr>
          <w:rFonts w:eastAsia="Times New Roman" w:cs="Times New Roman"/>
          <w:color w:val="0D2731"/>
          <w:sz w:val="24"/>
          <w:szCs w:val="24"/>
          <w:lang w:eastAsia="pt-BR"/>
        </w:rPr>
      </w:pPr>
      <w:r w:rsidRPr="00505368">
        <w:rPr>
          <w:rFonts w:eastAsia="Times New Roman" w:cs="Times New Roman"/>
          <w:color w:val="0D2731"/>
          <w:sz w:val="24"/>
          <w:szCs w:val="24"/>
          <w:lang w:eastAsia="pt-BR"/>
        </w:rPr>
        <w:br/>
      </w:r>
    </w:p>
    <w:p w:rsidR="00FC3B36" w:rsidRPr="00505368" w:rsidRDefault="00505368" w:rsidP="00505368">
      <w:pPr>
        <w:shd w:val="clear" w:color="auto" w:fill="FFFFFF"/>
        <w:spacing w:after="0" w:line="240" w:lineRule="auto"/>
        <w:jc w:val="center"/>
        <w:textAlignment w:val="top"/>
        <w:rPr>
          <w:rFonts w:eastAsia="Times New Roman" w:cs="Times New Roman"/>
          <w:b/>
          <w:color w:val="0D2731"/>
          <w:sz w:val="24"/>
          <w:szCs w:val="24"/>
          <w:lang w:eastAsia="pt-BR"/>
        </w:rPr>
      </w:pPr>
      <w:r w:rsidRPr="00505368">
        <w:rPr>
          <w:rFonts w:eastAsia="Times New Roman" w:cs="Times New Roman"/>
          <w:b/>
          <w:color w:val="0D2731"/>
          <w:sz w:val="24"/>
          <w:szCs w:val="24"/>
          <w:lang w:eastAsia="pt-BR"/>
        </w:rPr>
        <w:t>RESOLUÇÃO CAMEX</w:t>
      </w:r>
      <w:r w:rsidR="00FC3B36" w:rsidRPr="00505368">
        <w:rPr>
          <w:rFonts w:eastAsia="Times New Roman" w:cs="Times New Roman"/>
          <w:b/>
          <w:color w:val="0D2731"/>
          <w:sz w:val="24"/>
          <w:szCs w:val="24"/>
          <w:lang w:eastAsia="pt-BR"/>
        </w:rPr>
        <w:t xml:space="preserve"> N</w:t>
      </w:r>
      <w:r w:rsidR="00FC3B36" w:rsidRPr="00505368">
        <w:rPr>
          <w:rFonts w:eastAsia="Times New Roman" w:cs="Times New Roman"/>
          <w:b/>
          <w:strike/>
          <w:color w:val="0D2731"/>
          <w:sz w:val="24"/>
          <w:szCs w:val="24"/>
          <w:bdr w:val="none" w:sz="0" w:space="0" w:color="auto" w:frame="1"/>
          <w:lang w:eastAsia="pt-BR"/>
        </w:rPr>
        <w:t>º</w:t>
      </w:r>
      <w:r w:rsidR="00FC3B36" w:rsidRPr="00505368">
        <w:rPr>
          <w:rFonts w:eastAsia="Times New Roman" w:cs="Times New Roman"/>
          <w:b/>
          <w:color w:val="0D2731"/>
          <w:sz w:val="24"/>
          <w:szCs w:val="24"/>
          <w:lang w:eastAsia="pt-BR"/>
        </w:rPr>
        <w:t> 127, DE 22 DE DEZEMBRO DE 2016</w:t>
      </w:r>
      <w:r w:rsidR="00FC3B36" w:rsidRPr="00505368">
        <w:rPr>
          <w:rFonts w:eastAsia="Times New Roman" w:cs="Times New Roman"/>
          <w:b/>
          <w:color w:val="0D2731"/>
          <w:sz w:val="24"/>
          <w:szCs w:val="24"/>
          <w:lang w:eastAsia="pt-BR"/>
        </w:rPr>
        <w:br/>
        <w:t>(D.O.U. de 29/12/2016)</w:t>
      </w:r>
    </w:p>
    <w:p w:rsidR="00FC3B36" w:rsidRPr="00505368" w:rsidRDefault="00FC3B36" w:rsidP="00505368">
      <w:pPr>
        <w:shd w:val="clear" w:color="auto" w:fill="FFFFFF"/>
        <w:spacing w:before="150" w:after="150" w:line="240" w:lineRule="auto"/>
        <w:textAlignment w:val="top"/>
        <w:rPr>
          <w:rFonts w:eastAsia="Times New Roman" w:cs="Times New Roman"/>
          <w:color w:val="0D2731"/>
          <w:sz w:val="24"/>
          <w:szCs w:val="24"/>
          <w:lang w:eastAsia="pt-BR"/>
        </w:rPr>
      </w:pPr>
      <w:r w:rsidRPr="00505368">
        <w:rPr>
          <w:rFonts w:eastAsia="Times New Roman" w:cs="Times New Roman"/>
          <w:color w:val="0D2731"/>
          <w:sz w:val="24"/>
          <w:szCs w:val="24"/>
          <w:lang w:eastAsia="pt-BR"/>
        </w:rPr>
        <w:t> </w:t>
      </w:r>
    </w:p>
    <w:p w:rsidR="00FC3B36" w:rsidRPr="00505368" w:rsidRDefault="00FC3B36" w:rsidP="00505368">
      <w:pPr>
        <w:shd w:val="clear" w:color="auto" w:fill="FFFFFF"/>
        <w:spacing w:before="150" w:after="150" w:line="240" w:lineRule="auto"/>
        <w:textAlignment w:val="top"/>
        <w:rPr>
          <w:rFonts w:eastAsia="Times New Roman" w:cs="Times New Roman"/>
          <w:color w:val="0D2731"/>
          <w:sz w:val="24"/>
          <w:szCs w:val="24"/>
          <w:lang w:eastAsia="pt-BR"/>
        </w:rPr>
      </w:pPr>
      <w:r w:rsidRPr="00505368">
        <w:rPr>
          <w:rFonts w:eastAsia="Times New Roman" w:cs="Times New Roman"/>
          <w:color w:val="0D2731"/>
          <w:sz w:val="24"/>
          <w:szCs w:val="24"/>
          <w:lang w:eastAsia="pt-BR"/>
        </w:rPr>
        <w:t>Aplica direito antidumping definitivo, por um prazo de até 5 (cinco) anos, às importações brasileiras de n-butanol originárias da África do Sul e da Rússia.</w:t>
      </w:r>
    </w:p>
    <w:p w:rsidR="00FC3B36" w:rsidRPr="00505368" w:rsidRDefault="00FC3B36" w:rsidP="00505368">
      <w:pPr>
        <w:shd w:val="clear" w:color="auto" w:fill="FFFFFF"/>
        <w:spacing w:before="150" w:after="150" w:line="240" w:lineRule="auto"/>
        <w:textAlignment w:val="top"/>
        <w:rPr>
          <w:rFonts w:eastAsia="Times New Roman" w:cs="Times New Roman"/>
          <w:color w:val="0D2731"/>
          <w:sz w:val="24"/>
          <w:szCs w:val="24"/>
          <w:lang w:eastAsia="pt-BR"/>
        </w:rPr>
      </w:pPr>
      <w:r w:rsidRPr="00505368">
        <w:rPr>
          <w:rFonts w:eastAsia="Times New Roman" w:cs="Times New Roman"/>
          <w:color w:val="0D2731"/>
          <w:sz w:val="24"/>
          <w:szCs w:val="24"/>
          <w:lang w:eastAsia="pt-BR"/>
        </w:rPr>
        <w:t> </w:t>
      </w:r>
    </w:p>
    <w:p w:rsidR="00FC3B36" w:rsidRPr="00505368" w:rsidRDefault="00FC3B36" w:rsidP="00505368">
      <w:pPr>
        <w:shd w:val="clear" w:color="auto" w:fill="FFFFFF"/>
        <w:spacing w:after="0" w:line="240" w:lineRule="auto"/>
        <w:textAlignment w:val="top"/>
        <w:rPr>
          <w:rFonts w:eastAsia="Times New Roman" w:cs="Times New Roman"/>
          <w:color w:val="0D2731"/>
          <w:sz w:val="24"/>
          <w:szCs w:val="24"/>
          <w:lang w:eastAsia="pt-BR"/>
        </w:rPr>
      </w:pPr>
      <w:r w:rsidRPr="00505368">
        <w:rPr>
          <w:rFonts w:eastAsia="Times New Roman" w:cs="Times New Roman"/>
          <w:b/>
          <w:bCs/>
          <w:color w:val="0D2731"/>
          <w:sz w:val="24"/>
          <w:szCs w:val="24"/>
          <w:bdr w:val="none" w:sz="0" w:space="0" w:color="auto" w:frame="1"/>
          <w:lang w:eastAsia="pt-BR"/>
        </w:rPr>
        <w:t>O COMITÊ EXECUTIVO DE GESTÃO – GECEX – DA CÂMARA DE COMÉRCIO EXTERIOR - CAMEX</w:t>
      </w:r>
      <w:r w:rsidRPr="00505368">
        <w:rPr>
          <w:rFonts w:eastAsia="Times New Roman" w:cs="Times New Roman"/>
          <w:color w:val="0D2731"/>
          <w:sz w:val="24"/>
          <w:szCs w:val="24"/>
          <w:lang w:eastAsia="pt-BR"/>
        </w:rPr>
        <w:t>, por intermédio de seu Presidente, interino, no uso da atribuição que lhe confere o § 8</w:t>
      </w:r>
      <w:r w:rsidRPr="00505368">
        <w:rPr>
          <w:rFonts w:eastAsia="Times New Roman" w:cs="Times New Roman"/>
          <w:strike/>
          <w:color w:val="0D2731"/>
          <w:sz w:val="24"/>
          <w:szCs w:val="24"/>
          <w:bdr w:val="none" w:sz="0" w:space="0" w:color="auto" w:frame="1"/>
          <w:lang w:eastAsia="pt-BR"/>
        </w:rPr>
        <w:t> º</w:t>
      </w:r>
      <w:r w:rsidRPr="00505368">
        <w:rPr>
          <w:rFonts w:eastAsia="Times New Roman" w:cs="Times New Roman"/>
          <w:color w:val="0D2731"/>
          <w:sz w:val="24"/>
          <w:szCs w:val="24"/>
          <w:lang w:eastAsia="pt-BR"/>
        </w:rPr>
        <w:t> do art. 5</w:t>
      </w:r>
      <w:r w:rsidRPr="00505368">
        <w:rPr>
          <w:rFonts w:eastAsia="Times New Roman" w:cs="Times New Roman"/>
          <w:strike/>
          <w:color w:val="0D2731"/>
          <w:sz w:val="24"/>
          <w:szCs w:val="24"/>
          <w:bdr w:val="none" w:sz="0" w:space="0" w:color="auto" w:frame="1"/>
          <w:lang w:eastAsia="pt-BR"/>
        </w:rPr>
        <w:t>º</w:t>
      </w:r>
      <w:r w:rsidRPr="00505368">
        <w:rPr>
          <w:rFonts w:eastAsia="Times New Roman" w:cs="Times New Roman"/>
          <w:color w:val="0D2731"/>
          <w:sz w:val="24"/>
          <w:szCs w:val="24"/>
          <w:lang w:eastAsia="pt-BR"/>
        </w:rPr>
        <w:t> do Decreto n</w:t>
      </w:r>
      <w:r w:rsidRPr="00505368">
        <w:rPr>
          <w:rFonts w:eastAsia="Times New Roman" w:cs="Times New Roman"/>
          <w:strike/>
          <w:color w:val="0D2731"/>
          <w:sz w:val="24"/>
          <w:szCs w:val="24"/>
          <w:bdr w:val="none" w:sz="0" w:space="0" w:color="auto" w:frame="1"/>
          <w:lang w:eastAsia="pt-BR"/>
        </w:rPr>
        <w:t>º</w:t>
      </w:r>
      <w:r w:rsidRPr="00505368">
        <w:rPr>
          <w:rFonts w:eastAsia="Times New Roman" w:cs="Times New Roman"/>
          <w:color w:val="0D2731"/>
          <w:sz w:val="24"/>
          <w:szCs w:val="24"/>
          <w:lang w:eastAsia="pt-BR"/>
        </w:rPr>
        <w:t> 4.732, de 10 de junho de 2003, para o exercício da competência designada no inciso II do § 4</w:t>
      </w:r>
      <w:r w:rsidRPr="00505368">
        <w:rPr>
          <w:rFonts w:eastAsia="Times New Roman" w:cs="Times New Roman"/>
          <w:strike/>
          <w:color w:val="0D2731"/>
          <w:sz w:val="24"/>
          <w:szCs w:val="24"/>
          <w:bdr w:val="none" w:sz="0" w:space="0" w:color="auto" w:frame="1"/>
          <w:lang w:eastAsia="pt-BR"/>
        </w:rPr>
        <w:t>º</w:t>
      </w:r>
      <w:r w:rsidRPr="00505368">
        <w:rPr>
          <w:rFonts w:eastAsia="Times New Roman" w:cs="Times New Roman"/>
          <w:color w:val="0D2731"/>
          <w:sz w:val="24"/>
          <w:szCs w:val="24"/>
          <w:lang w:eastAsia="pt-BR"/>
        </w:rPr>
        <w:t> do mesmo dispositivo, juntamente com o inciso II do art. 18 do Anexo da Resolução CAMEX n</w:t>
      </w:r>
      <w:r w:rsidRPr="00505368">
        <w:rPr>
          <w:rFonts w:eastAsia="Times New Roman" w:cs="Times New Roman"/>
          <w:strike/>
          <w:color w:val="0D2731"/>
          <w:sz w:val="24"/>
          <w:szCs w:val="24"/>
          <w:bdr w:val="none" w:sz="0" w:space="0" w:color="auto" w:frame="1"/>
          <w:lang w:eastAsia="pt-BR"/>
        </w:rPr>
        <w:t>º</w:t>
      </w:r>
      <w:r w:rsidRPr="00505368">
        <w:rPr>
          <w:rFonts w:eastAsia="Times New Roman" w:cs="Times New Roman"/>
          <w:color w:val="0D2731"/>
          <w:sz w:val="24"/>
          <w:szCs w:val="24"/>
          <w:lang w:eastAsia="pt-BR"/>
        </w:rPr>
        <w:t> 77, de 21 de setembro de 2016, e com fundamento no inciso XV do art. 2</w:t>
      </w:r>
      <w:r w:rsidRPr="00505368">
        <w:rPr>
          <w:rFonts w:eastAsia="Times New Roman" w:cs="Times New Roman"/>
          <w:strike/>
          <w:color w:val="0D2731"/>
          <w:sz w:val="24"/>
          <w:szCs w:val="24"/>
          <w:bdr w:val="none" w:sz="0" w:space="0" w:color="auto" w:frame="1"/>
          <w:lang w:eastAsia="pt-BR"/>
        </w:rPr>
        <w:t>º</w:t>
      </w:r>
      <w:r w:rsidRPr="00505368">
        <w:rPr>
          <w:rFonts w:eastAsia="Times New Roman" w:cs="Times New Roman"/>
          <w:color w:val="0D2731"/>
          <w:sz w:val="24"/>
          <w:szCs w:val="24"/>
          <w:lang w:eastAsia="pt-BR"/>
        </w:rPr>
        <w:t> do Decreto supracitado,</w:t>
      </w:r>
    </w:p>
    <w:p w:rsidR="00FC3B36" w:rsidRPr="00505368" w:rsidRDefault="00FC3B36" w:rsidP="00505368">
      <w:pPr>
        <w:shd w:val="clear" w:color="auto" w:fill="FFFFFF"/>
        <w:spacing w:after="0" w:line="240" w:lineRule="auto"/>
        <w:textAlignment w:val="top"/>
        <w:rPr>
          <w:rFonts w:eastAsia="Times New Roman" w:cs="Times New Roman"/>
          <w:color w:val="0D2731"/>
          <w:sz w:val="24"/>
          <w:szCs w:val="24"/>
          <w:lang w:eastAsia="pt-BR"/>
        </w:rPr>
      </w:pPr>
      <w:r w:rsidRPr="00505368">
        <w:rPr>
          <w:rFonts w:eastAsia="Times New Roman" w:cs="Times New Roman"/>
          <w:b/>
          <w:bCs/>
          <w:color w:val="0D2731"/>
          <w:sz w:val="24"/>
          <w:szCs w:val="24"/>
          <w:bdr w:val="none" w:sz="0" w:space="0" w:color="auto" w:frame="1"/>
          <w:lang w:eastAsia="pt-BR"/>
        </w:rPr>
        <w:lastRenderedPageBreak/>
        <w:t> </w:t>
      </w:r>
    </w:p>
    <w:p w:rsidR="00FC3B36" w:rsidRPr="00505368" w:rsidRDefault="00FC3B36" w:rsidP="00505368">
      <w:pPr>
        <w:shd w:val="clear" w:color="auto" w:fill="FFFFFF"/>
        <w:spacing w:after="0" w:line="240" w:lineRule="auto"/>
        <w:textAlignment w:val="top"/>
        <w:rPr>
          <w:rFonts w:eastAsia="Times New Roman" w:cs="Times New Roman"/>
          <w:color w:val="0D2731"/>
          <w:sz w:val="24"/>
          <w:szCs w:val="24"/>
          <w:lang w:eastAsia="pt-BR"/>
        </w:rPr>
      </w:pPr>
      <w:r w:rsidRPr="00505368">
        <w:rPr>
          <w:rFonts w:eastAsia="Times New Roman" w:cs="Times New Roman"/>
          <w:b/>
          <w:bCs/>
          <w:color w:val="0D2731"/>
          <w:sz w:val="24"/>
          <w:szCs w:val="24"/>
          <w:bdr w:val="none" w:sz="0" w:space="0" w:color="auto" w:frame="1"/>
          <w:lang w:eastAsia="pt-BR"/>
        </w:rPr>
        <w:t>CONSIDERANDO</w:t>
      </w:r>
      <w:r w:rsidRPr="00505368">
        <w:rPr>
          <w:rFonts w:eastAsia="Times New Roman" w:cs="Times New Roman"/>
          <w:color w:val="0D2731"/>
          <w:sz w:val="24"/>
          <w:szCs w:val="24"/>
          <w:lang w:eastAsia="pt-BR"/>
        </w:rPr>
        <w:t> o que consta dos autos do Processo MDIC/SECEX 52272.001728/2015-47,</w:t>
      </w:r>
    </w:p>
    <w:p w:rsidR="00FC3B36" w:rsidRPr="00505368" w:rsidRDefault="00FC3B36" w:rsidP="00505368">
      <w:pPr>
        <w:shd w:val="clear" w:color="auto" w:fill="FFFFFF"/>
        <w:spacing w:after="0" w:line="240" w:lineRule="auto"/>
        <w:textAlignment w:val="top"/>
        <w:rPr>
          <w:rFonts w:eastAsia="Times New Roman" w:cs="Times New Roman"/>
          <w:color w:val="0D2731"/>
          <w:sz w:val="24"/>
          <w:szCs w:val="24"/>
          <w:lang w:eastAsia="pt-BR"/>
        </w:rPr>
      </w:pPr>
      <w:r w:rsidRPr="00505368">
        <w:rPr>
          <w:rFonts w:eastAsia="Times New Roman" w:cs="Times New Roman"/>
          <w:b/>
          <w:bCs/>
          <w:color w:val="0D2731"/>
          <w:sz w:val="24"/>
          <w:szCs w:val="24"/>
          <w:bdr w:val="none" w:sz="0" w:space="0" w:color="auto" w:frame="1"/>
          <w:lang w:eastAsia="pt-BR"/>
        </w:rPr>
        <w:t>RESOLVE</w:t>
      </w:r>
      <w:r w:rsidRPr="00505368">
        <w:rPr>
          <w:rFonts w:eastAsia="Times New Roman" w:cs="Times New Roman"/>
          <w:color w:val="0D2731"/>
          <w:sz w:val="24"/>
          <w:szCs w:val="24"/>
          <w:lang w:eastAsia="pt-BR"/>
        </w:rPr>
        <w:t> </w:t>
      </w:r>
      <w:r w:rsidRPr="00505368">
        <w:rPr>
          <w:rFonts w:eastAsia="Times New Roman" w:cs="Times New Roman"/>
          <w:b/>
          <w:bCs/>
          <w:color w:val="0D2731"/>
          <w:sz w:val="24"/>
          <w:szCs w:val="24"/>
          <w:bdr w:val="none" w:sz="0" w:space="0" w:color="auto" w:frame="1"/>
          <w:lang w:eastAsia="pt-BR"/>
        </w:rPr>
        <w:t xml:space="preserve">ad </w:t>
      </w:r>
      <w:proofErr w:type="spellStart"/>
      <w:r w:rsidRPr="00505368">
        <w:rPr>
          <w:rFonts w:eastAsia="Times New Roman" w:cs="Times New Roman"/>
          <w:b/>
          <w:bCs/>
          <w:color w:val="0D2731"/>
          <w:sz w:val="24"/>
          <w:szCs w:val="24"/>
          <w:bdr w:val="none" w:sz="0" w:space="0" w:color="auto" w:frame="1"/>
          <w:lang w:eastAsia="pt-BR"/>
        </w:rPr>
        <w:t>referendum</w:t>
      </w:r>
      <w:r w:rsidRPr="00505368">
        <w:rPr>
          <w:rFonts w:eastAsia="Times New Roman" w:cs="Times New Roman"/>
          <w:color w:val="0D2731"/>
          <w:sz w:val="24"/>
          <w:szCs w:val="24"/>
          <w:lang w:eastAsia="pt-BR"/>
        </w:rPr>
        <w:t>do</w:t>
      </w:r>
      <w:proofErr w:type="spellEnd"/>
      <w:r w:rsidRPr="00505368">
        <w:rPr>
          <w:rFonts w:eastAsia="Times New Roman" w:cs="Times New Roman"/>
          <w:color w:val="0D2731"/>
          <w:sz w:val="24"/>
          <w:szCs w:val="24"/>
          <w:lang w:eastAsia="pt-BR"/>
        </w:rPr>
        <w:t xml:space="preserve"> Conselho:</w:t>
      </w:r>
    </w:p>
    <w:p w:rsidR="00FC3B36" w:rsidRPr="00505368" w:rsidRDefault="00FC3B36" w:rsidP="00505368">
      <w:pPr>
        <w:shd w:val="clear" w:color="auto" w:fill="FFFFFF"/>
        <w:spacing w:before="150" w:after="150" w:line="240" w:lineRule="auto"/>
        <w:textAlignment w:val="top"/>
        <w:rPr>
          <w:rFonts w:eastAsia="Times New Roman" w:cs="Times New Roman"/>
          <w:color w:val="0D2731"/>
          <w:sz w:val="24"/>
          <w:szCs w:val="24"/>
          <w:lang w:eastAsia="pt-BR"/>
        </w:rPr>
      </w:pPr>
      <w:r w:rsidRPr="00505368">
        <w:rPr>
          <w:rFonts w:eastAsia="Times New Roman" w:cs="Times New Roman"/>
          <w:color w:val="0D2731"/>
          <w:sz w:val="24"/>
          <w:szCs w:val="24"/>
          <w:lang w:eastAsia="pt-BR"/>
        </w:rPr>
        <w:t> </w:t>
      </w:r>
    </w:p>
    <w:p w:rsidR="00113BE3" w:rsidRPr="00505368" w:rsidRDefault="00113BE3" w:rsidP="00505368">
      <w:pPr>
        <w:shd w:val="clear" w:color="auto" w:fill="FFFFFF"/>
        <w:spacing w:after="0" w:line="240" w:lineRule="auto"/>
        <w:textAlignment w:val="top"/>
        <w:rPr>
          <w:rFonts w:eastAsia="Times New Roman" w:cs="Times New Roman"/>
          <w:color w:val="0D2731"/>
          <w:sz w:val="24"/>
          <w:szCs w:val="24"/>
          <w:lang w:eastAsia="pt-BR"/>
        </w:rPr>
      </w:pPr>
      <w:r w:rsidRPr="00505368">
        <w:rPr>
          <w:rFonts w:eastAsia="Times New Roman" w:cs="Times New Roman"/>
          <w:color w:val="0D2731"/>
          <w:sz w:val="24"/>
          <w:szCs w:val="24"/>
          <w:lang w:eastAsia="pt-BR"/>
        </w:rPr>
        <w:t>Art. 1</w:t>
      </w:r>
      <w:r w:rsidRPr="00505368">
        <w:rPr>
          <w:rFonts w:eastAsia="Times New Roman" w:cs="Times New Roman"/>
          <w:strike/>
          <w:color w:val="0D2731"/>
          <w:sz w:val="24"/>
          <w:szCs w:val="24"/>
          <w:bdr w:val="none" w:sz="0" w:space="0" w:color="auto" w:frame="1"/>
          <w:lang w:eastAsia="pt-BR"/>
        </w:rPr>
        <w:t>º</w:t>
      </w:r>
      <w:r w:rsidRPr="00505368">
        <w:rPr>
          <w:rFonts w:eastAsia="Times New Roman" w:cs="Times New Roman"/>
          <w:color w:val="0D2731"/>
          <w:sz w:val="24"/>
          <w:szCs w:val="24"/>
          <w:lang w:eastAsia="pt-BR"/>
        </w:rPr>
        <w:t>  Encerrar a investigação com aplicação de direito antidumping definitivo, por um prazo de até 5 (cinco) anos, às importações brasileiras de n-butanol, comumente classificados no item 2905.13.00 da Nomenclatura Comum do Mercosul – NCM, originárias da África do Sul e da Rússia, a ser recolhido sob a forma de alíquota específica fixada em dólares estadunidenses por tonelada, nos montantes abaixo especificados:</w:t>
      </w:r>
    </w:p>
    <w:p w:rsidR="00113BE3" w:rsidRPr="00113BE3" w:rsidRDefault="00113BE3" w:rsidP="00113BE3">
      <w:pPr>
        <w:shd w:val="clear" w:color="auto" w:fill="FFFFFF"/>
        <w:spacing w:before="150" w:after="150" w:line="240" w:lineRule="auto"/>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1801"/>
        <w:gridCol w:w="3460"/>
        <w:gridCol w:w="3227"/>
      </w:tblGrid>
      <w:tr w:rsidR="00113BE3" w:rsidRPr="00113BE3" w:rsidTr="00113BE3">
        <w:tc>
          <w:tcPr>
            <w:tcW w:w="21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Origem</w:t>
            </w:r>
          </w:p>
        </w:tc>
        <w:tc>
          <w:tcPr>
            <w:tcW w:w="40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Produtor/Exportador</w:t>
            </w:r>
          </w:p>
        </w:tc>
        <w:tc>
          <w:tcPr>
            <w:tcW w:w="39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Direito Antidumping Definitivo</w:t>
            </w:r>
          </w:p>
        </w:tc>
      </w:tr>
      <w:tr w:rsidR="00113BE3" w:rsidRPr="00113BE3" w:rsidTr="00113BE3">
        <w:tc>
          <w:tcPr>
            <w:tcW w:w="21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África do Sul</w:t>
            </w:r>
          </w:p>
        </w:tc>
        <w:tc>
          <w:tcPr>
            <w:tcW w:w="40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 xml:space="preserve">Sasol South </w:t>
            </w:r>
            <w:proofErr w:type="spellStart"/>
            <w:r w:rsidRPr="00113BE3">
              <w:rPr>
                <w:rFonts w:ascii="Trebuchet MS" w:eastAsia="Times New Roman" w:hAnsi="Trebuchet MS" w:cs="Times New Roman"/>
                <w:color w:val="0D2731"/>
                <w:sz w:val="18"/>
                <w:szCs w:val="18"/>
                <w:lang w:eastAsia="pt-BR"/>
              </w:rPr>
              <w:t>Africa</w:t>
            </w:r>
            <w:proofErr w:type="spellEnd"/>
            <w:r w:rsidRPr="00113BE3">
              <w:rPr>
                <w:rFonts w:ascii="Trebuchet MS" w:eastAsia="Times New Roman" w:hAnsi="Trebuchet MS" w:cs="Times New Roman"/>
                <w:color w:val="0D2731"/>
                <w:sz w:val="18"/>
                <w:szCs w:val="18"/>
                <w:lang w:eastAsia="pt-BR"/>
              </w:rPr>
              <w:t xml:space="preserve"> (</w:t>
            </w:r>
            <w:proofErr w:type="spellStart"/>
            <w:r w:rsidRPr="00113BE3">
              <w:rPr>
                <w:rFonts w:ascii="Trebuchet MS" w:eastAsia="Times New Roman" w:hAnsi="Trebuchet MS" w:cs="Times New Roman"/>
                <w:color w:val="0D2731"/>
                <w:sz w:val="18"/>
                <w:szCs w:val="18"/>
                <w:lang w:eastAsia="pt-BR"/>
              </w:rPr>
              <w:t>Proprietary</w:t>
            </w:r>
            <w:proofErr w:type="spellEnd"/>
            <w:r w:rsidRPr="00113BE3">
              <w:rPr>
                <w:rFonts w:ascii="Trebuchet MS" w:eastAsia="Times New Roman" w:hAnsi="Trebuchet MS" w:cs="Times New Roman"/>
                <w:color w:val="0D2731"/>
                <w:sz w:val="18"/>
                <w:szCs w:val="18"/>
                <w:lang w:eastAsia="pt-BR"/>
              </w:rPr>
              <w:t xml:space="preserve">) </w:t>
            </w:r>
            <w:proofErr w:type="spellStart"/>
            <w:r w:rsidRPr="00113BE3">
              <w:rPr>
                <w:rFonts w:ascii="Trebuchet MS" w:eastAsia="Times New Roman" w:hAnsi="Trebuchet MS" w:cs="Times New Roman"/>
                <w:color w:val="0D2731"/>
                <w:sz w:val="18"/>
                <w:szCs w:val="18"/>
                <w:lang w:eastAsia="pt-BR"/>
              </w:rPr>
              <w:t>Limited</w:t>
            </w:r>
            <w:proofErr w:type="spellEnd"/>
          </w:p>
        </w:tc>
        <w:tc>
          <w:tcPr>
            <w:tcW w:w="39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US$ 328,23/t</w:t>
            </w:r>
          </w:p>
        </w:tc>
      </w:tr>
      <w:tr w:rsidR="00113BE3" w:rsidRPr="00113BE3" w:rsidTr="00113BE3">
        <w:tc>
          <w:tcPr>
            <w:tcW w:w="0" w:type="auto"/>
            <w:vMerge/>
            <w:tcBorders>
              <w:top w:val="single" w:sz="6" w:space="0" w:color="6196A5"/>
              <w:left w:val="single" w:sz="6" w:space="0" w:color="6196A5"/>
              <w:bottom w:val="single" w:sz="6" w:space="0" w:color="6196A5"/>
              <w:right w:val="single" w:sz="6" w:space="0" w:color="6196A5"/>
            </w:tcBorders>
            <w:shd w:val="clear" w:color="auto" w:fill="FFFFFF"/>
            <w:hideMark/>
          </w:tcPr>
          <w:p w:rsidR="00113BE3" w:rsidRPr="00113BE3" w:rsidRDefault="00113BE3" w:rsidP="00113BE3">
            <w:pPr>
              <w:spacing w:after="0" w:line="240" w:lineRule="auto"/>
              <w:jc w:val="left"/>
              <w:rPr>
                <w:rFonts w:ascii="Trebuchet MS" w:eastAsia="Times New Roman" w:hAnsi="Trebuchet MS" w:cs="Times New Roman"/>
                <w:color w:val="0D2731"/>
                <w:sz w:val="18"/>
                <w:szCs w:val="18"/>
                <w:lang w:eastAsia="pt-BR"/>
              </w:rPr>
            </w:pPr>
          </w:p>
        </w:tc>
        <w:tc>
          <w:tcPr>
            <w:tcW w:w="40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Demais empresas</w:t>
            </w:r>
          </w:p>
        </w:tc>
        <w:tc>
          <w:tcPr>
            <w:tcW w:w="39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US$ 782,76/t</w:t>
            </w:r>
          </w:p>
        </w:tc>
      </w:tr>
      <w:tr w:rsidR="00113BE3" w:rsidRPr="00113BE3" w:rsidTr="00113BE3">
        <w:tc>
          <w:tcPr>
            <w:tcW w:w="219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Rússia</w:t>
            </w:r>
          </w:p>
        </w:tc>
        <w:tc>
          <w:tcPr>
            <w:tcW w:w="40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113BE3">
              <w:rPr>
                <w:rFonts w:ascii="Trebuchet MS" w:eastAsia="Times New Roman" w:hAnsi="Trebuchet MS" w:cs="Times New Roman"/>
                <w:color w:val="0D2731"/>
                <w:sz w:val="18"/>
                <w:szCs w:val="18"/>
                <w:lang w:eastAsia="pt-BR"/>
              </w:rPr>
              <w:t>Angarsk</w:t>
            </w:r>
            <w:proofErr w:type="spellEnd"/>
            <w:r w:rsidRPr="00113BE3">
              <w:rPr>
                <w:rFonts w:ascii="Trebuchet MS" w:eastAsia="Times New Roman" w:hAnsi="Trebuchet MS" w:cs="Times New Roman"/>
                <w:color w:val="0D2731"/>
                <w:sz w:val="18"/>
                <w:szCs w:val="18"/>
                <w:lang w:eastAsia="pt-BR"/>
              </w:rPr>
              <w:t xml:space="preserve"> </w:t>
            </w:r>
            <w:proofErr w:type="spellStart"/>
            <w:r w:rsidRPr="00113BE3">
              <w:rPr>
                <w:rFonts w:ascii="Trebuchet MS" w:eastAsia="Times New Roman" w:hAnsi="Trebuchet MS" w:cs="Times New Roman"/>
                <w:color w:val="0D2731"/>
                <w:sz w:val="18"/>
                <w:szCs w:val="18"/>
                <w:lang w:eastAsia="pt-BR"/>
              </w:rPr>
              <w:t>Petrochemical</w:t>
            </w:r>
            <w:proofErr w:type="spellEnd"/>
            <w:r w:rsidRPr="00113BE3">
              <w:rPr>
                <w:rFonts w:ascii="Trebuchet MS" w:eastAsia="Times New Roman" w:hAnsi="Trebuchet MS" w:cs="Times New Roman"/>
                <w:color w:val="0D2731"/>
                <w:sz w:val="18"/>
                <w:szCs w:val="18"/>
                <w:lang w:eastAsia="pt-BR"/>
              </w:rPr>
              <w:t xml:space="preserve"> JSC</w:t>
            </w:r>
          </w:p>
        </w:tc>
        <w:tc>
          <w:tcPr>
            <w:tcW w:w="39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US$ 979,87/t</w:t>
            </w:r>
          </w:p>
        </w:tc>
      </w:tr>
      <w:tr w:rsidR="00113BE3" w:rsidRPr="00113BE3" w:rsidTr="00113BE3">
        <w:tc>
          <w:tcPr>
            <w:tcW w:w="0" w:type="auto"/>
            <w:vMerge/>
            <w:tcBorders>
              <w:top w:val="single" w:sz="6" w:space="0" w:color="6196A5"/>
              <w:left w:val="single" w:sz="6" w:space="0" w:color="6196A5"/>
              <w:bottom w:val="single" w:sz="6" w:space="0" w:color="6196A5"/>
              <w:right w:val="single" w:sz="6" w:space="0" w:color="6196A5"/>
            </w:tcBorders>
            <w:shd w:val="clear" w:color="auto" w:fill="FFFFFF"/>
            <w:hideMark/>
          </w:tcPr>
          <w:p w:rsidR="00113BE3" w:rsidRPr="00113BE3" w:rsidRDefault="00113BE3" w:rsidP="00113BE3">
            <w:pPr>
              <w:spacing w:after="0" w:line="240" w:lineRule="auto"/>
              <w:jc w:val="left"/>
              <w:rPr>
                <w:rFonts w:ascii="Trebuchet MS" w:eastAsia="Times New Roman" w:hAnsi="Trebuchet MS" w:cs="Times New Roman"/>
                <w:color w:val="0D2731"/>
                <w:sz w:val="18"/>
                <w:szCs w:val="18"/>
                <w:lang w:eastAsia="pt-BR"/>
              </w:rPr>
            </w:pPr>
          </w:p>
        </w:tc>
        <w:tc>
          <w:tcPr>
            <w:tcW w:w="40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 xml:space="preserve">Gazprom </w:t>
            </w:r>
            <w:proofErr w:type="spellStart"/>
            <w:r w:rsidRPr="00113BE3">
              <w:rPr>
                <w:rFonts w:ascii="Trebuchet MS" w:eastAsia="Times New Roman" w:hAnsi="Trebuchet MS" w:cs="Times New Roman"/>
                <w:color w:val="0D2731"/>
                <w:sz w:val="18"/>
                <w:szCs w:val="18"/>
                <w:lang w:eastAsia="pt-BR"/>
              </w:rPr>
              <w:t>Neftekhim</w:t>
            </w:r>
            <w:proofErr w:type="spellEnd"/>
            <w:r w:rsidRPr="00113BE3">
              <w:rPr>
                <w:rFonts w:ascii="Trebuchet MS" w:eastAsia="Times New Roman" w:hAnsi="Trebuchet MS" w:cs="Times New Roman"/>
                <w:color w:val="0D2731"/>
                <w:sz w:val="18"/>
                <w:szCs w:val="18"/>
                <w:lang w:eastAsia="pt-BR"/>
              </w:rPr>
              <w:t xml:space="preserve"> </w:t>
            </w:r>
            <w:proofErr w:type="spellStart"/>
            <w:r w:rsidRPr="00113BE3">
              <w:rPr>
                <w:rFonts w:ascii="Trebuchet MS" w:eastAsia="Times New Roman" w:hAnsi="Trebuchet MS" w:cs="Times New Roman"/>
                <w:color w:val="0D2731"/>
                <w:sz w:val="18"/>
                <w:szCs w:val="18"/>
                <w:lang w:eastAsia="pt-BR"/>
              </w:rPr>
              <w:t>Salavat</w:t>
            </w:r>
            <w:proofErr w:type="spellEnd"/>
            <w:r w:rsidRPr="00113BE3">
              <w:rPr>
                <w:rFonts w:ascii="Trebuchet MS" w:eastAsia="Times New Roman" w:hAnsi="Trebuchet MS" w:cs="Times New Roman"/>
                <w:color w:val="0D2731"/>
                <w:sz w:val="18"/>
                <w:szCs w:val="18"/>
                <w:lang w:eastAsia="pt-BR"/>
              </w:rPr>
              <w:t xml:space="preserve"> JSC</w:t>
            </w:r>
          </w:p>
        </w:tc>
        <w:tc>
          <w:tcPr>
            <w:tcW w:w="39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US$ 979,87/t</w:t>
            </w:r>
          </w:p>
        </w:tc>
      </w:tr>
      <w:tr w:rsidR="00113BE3" w:rsidRPr="00113BE3" w:rsidTr="00113BE3">
        <w:tc>
          <w:tcPr>
            <w:tcW w:w="0" w:type="auto"/>
            <w:vMerge/>
            <w:tcBorders>
              <w:top w:val="single" w:sz="6" w:space="0" w:color="6196A5"/>
              <w:left w:val="single" w:sz="6" w:space="0" w:color="6196A5"/>
              <w:bottom w:val="single" w:sz="6" w:space="0" w:color="6196A5"/>
              <w:right w:val="single" w:sz="6" w:space="0" w:color="6196A5"/>
            </w:tcBorders>
            <w:shd w:val="clear" w:color="auto" w:fill="FFFFFF"/>
            <w:hideMark/>
          </w:tcPr>
          <w:p w:rsidR="00113BE3" w:rsidRPr="00113BE3" w:rsidRDefault="00113BE3" w:rsidP="00113BE3">
            <w:pPr>
              <w:spacing w:after="0" w:line="240" w:lineRule="auto"/>
              <w:jc w:val="left"/>
              <w:rPr>
                <w:rFonts w:ascii="Trebuchet MS" w:eastAsia="Times New Roman" w:hAnsi="Trebuchet MS" w:cs="Times New Roman"/>
                <w:color w:val="0D2731"/>
                <w:sz w:val="18"/>
                <w:szCs w:val="18"/>
                <w:lang w:eastAsia="pt-BR"/>
              </w:rPr>
            </w:pPr>
          </w:p>
        </w:tc>
        <w:tc>
          <w:tcPr>
            <w:tcW w:w="40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113BE3">
              <w:rPr>
                <w:rFonts w:ascii="Trebuchet MS" w:eastAsia="Times New Roman" w:hAnsi="Trebuchet MS" w:cs="Times New Roman"/>
                <w:color w:val="0D2731"/>
                <w:sz w:val="18"/>
                <w:szCs w:val="18"/>
                <w:lang w:eastAsia="pt-BR"/>
              </w:rPr>
              <w:t>Nevinnomyssky</w:t>
            </w:r>
            <w:proofErr w:type="spellEnd"/>
            <w:r w:rsidRPr="00113BE3">
              <w:rPr>
                <w:rFonts w:ascii="Trebuchet MS" w:eastAsia="Times New Roman" w:hAnsi="Trebuchet MS" w:cs="Times New Roman"/>
                <w:color w:val="0D2731"/>
                <w:sz w:val="18"/>
                <w:szCs w:val="18"/>
                <w:lang w:eastAsia="pt-BR"/>
              </w:rPr>
              <w:t xml:space="preserve"> </w:t>
            </w:r>
            <w:proofErr w:type="spellStart"/>
            <w:r w:rsidRPr="00113BE3">
              <w:rPr>
                <w:rFonts w:ascii="Trebuchet MS" w:eastAsia="Times New Roman" w:hAnsi="Trebuchet MS" w:cs="Times New Roman"/>
                <w:color w:val="0D2731"/>
                <w:sz w:val="18"/>
                <w:szCs w:val="18"/>
                <w:lang w:eastAsia="pt-BR"/>
              </w:rPr>
              <w:t>Azot</w:t>
            </w:r>
            <w:proofErr w:type="spellEnd"/>
            <w:r w:rsidRPr="00113BE3">
              <w:rPr>
                <w:rFonts w:ascii="Trebuchet MS" w:eastAsia="Times New Roman" w:hAnsi="Trebuchet MS" w:cs="Times New Roman"/>
                <w:color w:val="0D2731"/>
                <w:sz w:val="18"/>
                <w:szCs w:val="18"/>
                <w:lang w:eastAsia="pt-BR"/>
              </w:rPr>
              <w:t xml:space="preserve"> JSC</w:t>
            </w:r>
          </w:p>
        </w:tc>
        <w:tc>
          <w:tcPr>
            <w:tcW w:w="39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US$ 979,87/t</w:t>
            </w:r>
          </w:p>
        </w:tc>
      </w:tr>
      <w:tr w:rsidR="00113BE3" w:rsidRPr="00113BE3" w:rsidTr="00113BE3">
        <w:tc>
          <w:tcPr>
            <w:tcW w:w="0" w:type="auto"/>
            <w:vMerge/>
            <w:tcBorders>
              <w:top w:val="single" w:sz="6" w:space="0" w:color="6196A5"/>
              <w:left w:val="single" w:sz="6" w:space="0" w:color="6196A5"/>
              <w:bottom w:val="single" w:sz="6" w:space="0" w:color="6196A5"/>
              <w:right w:val="single" w:sz="6" w:space="0" w:color="6196A5"/>
            </w:tcBorders>
            <w:shd w:val="clear" w:color="auto" w:fill="FFFFFF"/>
            <w:hideMark/>
          </w:tcPr>
          <w:p w:rsidR="00113BE3" w:rsidRPr="00113BE3" w:rsidRDefault="00113BE3" w:rsidP="00113BE3">
            <w:pPr>
              <w:spacing w:after="0" w:line="240" w:lineRule="auto"/>
              <w:jc w:val="left"/>
              <w:rPr>
                <w:rFonts w:ascii="Trebuchet MS" w:eastAsia="Times New Roman" w:hAnsi="Trebuchet MS" w:cs="Times New Roman"/>
                <w:color w:val="0D2731"/>
                <w:sz w:val="18"/>
                <w:szCs w:val="18"/>
                <w:lang w:eastAsia="pt-BR"/>
              </w:rPr>
            </w:pPr>
          </w:p>
        </w:tc>
        <w:tc>
          <w:tcPr>
            <w:tcW w:w="40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113BE3">
              <w:rPr>
                <w:rFonts w:ascii="Trebuchet MS" w:eastAsia="Times New Roman" w:hAnsi="Trebuchet MS" w:cs="Times New Roman"/>
                <w:color w:val="0D2731"/>
                <w:sz w:val="18"/>
                <w:szCs w:val="18"/>
                <w:lang w:eastAsia="pt-BR"/>
              </w:rPr>
              <w:t>Sibur-Khimprom</w:t>
            </w:r>
            <w:proofErr w:type="spellEnd"/>
            <w:r w:rsidRPr="00113BE3">
              <w:rPr>
                <w:rFonts w:ascii="Trebuchet MS" w:eastAsia="Times New Roman" w:hAnsi="Trebuchet MS" w:cs="Times New Roman"/>
                <w:color w:val="0D2731"/>
                <w:sz w:val="18"/>
                <w:szCs w:val="18"/>
                <w:lang w:eastAsia="pt-BR"/>
              </w:rPr>
              <w:t xml:space="preserve"> CJSC</w:t>
            </w:r>
          </w:p>
        </w:tc>
        <w:tc>
          <w:tcPr>
            <w:tcW w:w="39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US$ 979,87/t</w:t>
            </w:r>
          </w:p>
        </w:tc>
      </w:tr>
      <w:tr w:rsidR="00113BE3" w:rsidRPr="00113BE3" w:rsidTr="00113BE3">
        <w:tc>
          <w:tcPr>
            <w:tcW w:w="0" w:type="auto"/>
            <w:vMerge/>
            <w:tcBorders>
              <w:top w:val="single" w:sz="6" w:space="0" w:color="6196A5"/>
              <w:left w:val="single" w:sz="6" w:space="0" w:color="6196A5"/>
              <w:bottom w:val="single" w:sz="6" w:space="0" w:color="6196A5"/>
              <w:right w:val="single" w:sz="6" w:space="0" w:color="6196A5"/>
            </w:tcBorders>
            <w:shd w:val="clear" w:color="auto" w:fill="FFFFFF"/>
            <w:hideMark/>
          </w:tcPr>
          <w:p w:rsidR="00113BE3" w:rsidRPr="00113BE3" w:rsidRDefault="00113BE3" w:rsidP="00113BE3">
            <w:pPr>
              <w:spacing w:after="0" w:line="240" w:lineRule="auto"/>
              <w:jc w:val="left"/>
              <w:rPr>
                <w:rFonts w:ascii="Trebuchet MS" w:eastAsia="Times New Roman" w:hAnsi="Trebuchet MS" w:cs="Times New Roman"/>
                <w:color w:val="0D2731"/>
                <w:sz w:val="18"/>
                <w:szCs w:val="18"/>
                <w:lang w:eastAsia="pt-BR"/>
              </w:rPr>
            </w:pPr>
          </w:p>
        </w:tc>
        <w:tc>
          <w:tcPr>
            <w:tcW w:w="40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Demais empresas</w:t>
            </w:r>
          </w:p>
        </w:tc>
        <w:tc>
          <w:tcPr>
            <w:tcW w:w="39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113BE3" w:rsidRPr="00113BE3" w:rsidRDefault="00113BE3" w:rsidP="00113BE3">
            <w:pPr>
              <w:spacing w:after="0" w:line="360" w:lineRule="atLeast"/>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US$ 979,87/t</w:t>
            </w:r>
          </w:p>
        </w:tc>
      </w:tr>
    </w:tbl>
    <w:p w:rsidR="00113BE3" w:rsidRPr="00113BE3" w:rsidRDefault="00113BE3" w:rsidP="00113BE3">
      <w:pPr>
        <w:shd w:val="clear" w:color="auto" w:fill="FFFFFF"/>
        <w:spacing w:before="150" w:after="150" w:line="240" w:lineRule="auto"/>
        <w:jc w:val="left"/>
        <w:textAlignment w:val="top"/>
        <w:rPr>
          <w:rFonts w:ascii="Trebuchet MS" w:eastAsia="Times New Roman" w:hAnsi="Trebuchet MS" w:cs="Times New Roman"/>
          <w:color w:val="0D2731"/>
          <w:sz w:val="18"/>
          <w:szCs w:val="18"/>
          <w:lang w:eastAsia="pt-BR"/>
        </w:rPr>
      </w:pPr>
      <w:r w:rsidRPr="00113BE3">
        <w:rPr>
          <w:rFonts w:ascii="Trebuchet MS" w:eastAsia="Times New Roman" w:hAnsi="Trebuchet MS" w:cs="Times New Roman"/>
          <w:color w:val="0D2731"/>
          <w:sz w:val="18"/>
          <w:szCs w:val="18"/>
          <w:lang w:eastAsia="pt-BR"/>
        </w:rPr>
        <w:t> </w:t>
      </w:r>
    </w:p>
    <w:p w:rsidR="00113BE3" w:rsidRPr="00505368" w:rsidRDefault="00113BE3" w:rsidP="00505368">
      <w:pPr>
        <w:shd w:val="clear" w:color="auto" w:fill="FFFFFF"/>
        <w:spacing w:after="0" w:line="240" w:lineRule="auto"/>
        <w:textAlignment w:val="top"/>
        <w:rPr>
          <w:rFonts w:eastAsia="Times New Roman" w:cs="Times New Roman"/>
          <w:color w:val="0D2731"/>
          <w:sz w:val="24"/>
          <w:szCs w:val="24"/>
          <w:lang w:eastAsia="pt-BR"/>
        </w:rPr>
      </w:pPr>
      <w:r w:rsidRPr="00505368">
        <w:rPr>
          <w:rFonts w:eastAsia="Times New Roman" w:cs="Times New Roman"/>
          <w:color w:val="0D2731"/>
          <w:sz w:val="24"/>
          <w:szCs w:val="24"/>
          <w:lang w:eastAsia="pt-BR"/>
        </w:rPr>
        <w:t>Art. 2</w:t>
      </w:r>
      <w:r w:rsidRPr="00505368">
        <w:rPr>
          <w:rFonts w:eastAsia="Times New Roman" w:cs="Times New Roman"/>
          <w:strike/>
          <w:color w:val="0D2731"/>
          <w:sz w:val="24"/>
          <w:szCs w:val="24"/>
          <w:bdr w:val="none" w:sz="0" w:space="0" w:color="auto" w:frame="1"/>
          <w:lang w:eastAsia="pt-BR"/>
        </w:rPr>
        <w:t>º</w:t>
      </w:r>
      <w:r w:rsidRPr="00505368">
        <w:rPr>
          <w:rFonts w:eastAsia="Times New Roman" w:cs="Times New Roman"/>
          <w:color w:val="0D2731"/>
          <w:sz w:val="24"/>
          <w:szCs w:val="24"/>
          <w:lang w:eastAsia="pt-BR"/>
        </w:rPr>
        <w:t>  Tornar públicos os fatos que justificaram a decisão, conforme consta do Anexo.</w:t>
      </w:r>
    </w:p>
    <w:p w:rsidR="00113BE3" w:rsidRPr="00505368" w:rsidRDefault="00113BE3" w:rsidP="00505368">
      <w:pPr>
        <w:shd w:val="clear" w:color="auto" w:fill="FFFFFF"/>
        <w:spacing w:before="150" w:after="150" w:line="240" w:lineRule="auto"/>
        <w:textAlignment w:val="top"/>
        <w:rPr>
          <w:rFonts w:eastAsia="Times New Roman" w:cs="Times New Roman"/>
          <w:color w:val="0D2731"/>
          <w:sz w:val="24"/>
          <w:szCs w:val="24"/>
          <w:lang w:eastAsia="pt-BR"/>
        </w:rPr>
      </w:pPr>
      <w:r w:rsidRPr="00505368">
        <w:rPr>
          <w:rFonts w:eastAsia="Times New Roman" w:cs="Times New Roman"/>
          <w:color w:val="0D2731"/>
          <w:sz w:val="24"/>
          <w:szCs w:val="24"/>
          <w:lang w:eastAsia="pt-BR"/>
        </w:rPr>
        <w:t> </w:t>
      </w:r>
    </w:p>
    <w:p w:rsidR="00113BE3" w:rsidRPr="00505368" w:rsidRDefault="00113BE3" w:rsidP="00505368">
      <w:pPr>
        <w:shd w:val="clear" w:color="auto" w:fill="FFFFFF"/>
        <w:spacing w:after="0" w:line="240" w:lineRule="auto"/>
        <w:textAlignment w:val="top"/>
        <w:rPr>
          <w:rFonts w:eastAsia="Times New Roman" w:cs="Times New Roman"/>
          <w:color w:val="0D2731"/>
          <w:sz w:val="24"/>
          <w:szCs w:val="24"/>
          <w:lang w:eastAsia="pt-BR"/>
        </w:rPr>
      </w:pPr>
      <w:r w:rsidRPr="00505368">
        <w:rPr>
          <w:rFonts w:eastAsia="Times New Roman" w:cs="Times New Roman"/>
          <w:color w:val="0D2731"/>
          <w:sz w:val="24"/>
          <w:szCs w:val="24"/>
          <w:lang w:eastAsia="pt-BR"/>
        </w:rPr>
        <w:t>Art. 3</w:t>
      </w:r>
      <w:r w:rsidRPr="00505368">
        <w:rPr>
          <w:rFonts w:eastAsia="Times New Roman" w:cs="Times New Roman"/>
          <w:strike/>
          <w:color w:val="0D2731"/>
          <w:sz w:val="24"/>
          <w:szCs w:val="24"/>
          <w:bdr w:val="none" w:sz="0" w:space="0" w:color="auto" w:frame="1"/>
          <w:lang w:eastAsia="pt-BR"/>
        </w:rPr>
        <w:t>º</w:t>
      </w:r>
      <w:r w:rsidRPr="00505368">
        <w:rPr>
          <w:rFonts w:eastAsia="Times New Roman" w:cs="Times New Roman"/>
          <w:color w:val="0D2731"/>
          <w:sz w:val="24"/>
          <w:szCs w:val="24"/>
          <w:lang w:eastAsia="pt-BR"/>
        </w:rPr>
        <w:t>  Esta Resolução entra em vigor na data de sua publicação.</w:t>
      </w:r>
    </w:p>
    <w:p w:rsidR="00113BE3" w:rsidRPr="00505368" w:rsidRDefault="00113BE3" w:rsidP="00505368">
      <w:pPr>
        <w:shd w:val="clear" w:color="auto" w:fill="FFFFFF"/>
        <w:spacing w:after="0" w:line="240" w:lineRule="auto"/>
        <w:textAlignment w:val="top"/>
        <w:rPr>
          <w:rFonts w:eastAsia="Times New Roman" w:cs="Times New Roman"/>
          <w:color w:val="0D2731"/>
          <w:sz w:val="24"/>
          <w:szCs w:val="24"/>
          <w:lang w:eastAsia="pt-BR"/>
        </w:rPr>
      </w:pPr>
      <w:r w:rsidRPr="00505368">
        <w:rPr>
          <w:rFonts w:eastAsia="Times New Roman" w:cs="Times New Roman"/>
          <w:b/>
          <w:bCs/>
          <w:color w:val="0D2731"/>
          <w:sz w:val="24"/>
          <w:szCs w:val="24"/>
          <w:bdr w:val="none" w:sz="0" w:space="0" w:color="auto" w:frame="1"/>
          <w:lang w:eastAsia="pt-BR"/>
        </w:rPr>
        <w:t> </w:t>
      </w:r>
    </w:p>
    <w:p w:rsidR="00113BE3" w:rsidRPr="00505368" w:rsidRDefault="00113BE3" w:rsidP="00505368">
      <w:pPr>
        <w:shd w:val="clear" w:color="auto" w:fill="FFFFFF"/>
        <w:spacing w:after="0" w:line="240" w:lineRule="auto"/>
        <w:textAlignment w:val="top"/>
        <w:rPr>
          <w:rFonts w:eastAsia="Times New Roman" w:cs="Times New Roman"/>
          <w:color w:val="0D2731"/>
          <w:sz w:val="24"/>
          <w:szCs w:val="24"/>
          <w:lang w:eastAsia="pt-BR"/>
        </w:rPr>
      </w:pPr>
      <w:r w:rsidRPr="00505368">
        <w:rPr>
          <w:rFonts w:eastAsia="Times New Roman" w:cs="Times New Roman"/>
          <w:b/>
          <w:bCs/>
          <w:color w:val="0D2731"/>
          <w:sz w:val="24"/>
          <w:szCs w:val="24"/>
          <w:bdr w:val="none" w:sz="0" w:space="0" w:color="auto" w:frame="1"/>
          <w:lang w:eastAsia="pt-BR"/>
        </w:rPr>
        <w:t> </w:t>
      </w:r>
    </w:p>
    <w:p w:rsidR="00113BE3" w:rsidRPr="00505368" w:rsidRDefault="00113BE3" w:rsidP="00505368">
      <w:pPr>
        <w:shd w:val="clear" w:color="auto" w:fill="FFFFFF"/>
        <w:spacing w:after="0" w:line="240" w:lineRule="auto"/>
        <w:textAlignment w:val="top"/>
        <w:rPr>
          <w:rFonts w:eastAsia="Times New Roman" w:cs="Times New Roman"/>
          <w:color w:val="0D2731"/>
          <w:sz w:val="24"/>
          <w:szCs w:val="24"/>
          <w:lang w:eastAsia="pt-BR"/>
        </w:rPr>
      </w:pPr>
      <w:r w:rsidRPr="00505368">
        <w:rPr>
          <w:rFonts w:eastAsia="Times New Roman" w:cs="Times New Roman"/>
          <w:b/>
          <w:bCs/>
          <w:color w:val="0D2731"/>
          <w:sz w:val="24"/>
          <w:szCs w:val="24"/>
          <w:bdr w:val="none" w:sz="0" w:space="0" w:color="auto" w:frame="1"/>
          <w:lang w:eastAsia="pt-BR"/>
        </w:rPr>
        <w:t> </w:t>
      </w:r>
    </w:p>
    <w:p w:rsidR="00113BE3" w:rsidRPr="00505368" w:rsidRDefault="00113BE3" w:rsidP="00505368">
      <w:pPr>
        <w:shd w:val="clear" w:color="auto" w:fill="FFFFFF"/>
        <w:spacing w:after="0" w:line="240" w:lineRule="auto"/>
        <w:textAlignment w:val="top"/>
        <w:rPr>
          <w:rFonts w:eastAsia="Times New Roman" w:cs="Times New Roman"/>
          <w:color w:val="0D2731"/>
          <w:sz w:val="24"/>
          <w:szCs w:val="24"/>
          <w:lang w:eastAsia="pt-BR"/>
        </w:rPr>
      </w:pPr>
      <w:r w:rsidRPr="00505368">
        <w:rPr>
          <w:rFonts w:eastAsia="Times New Roman" w:cs="Times New Roman"/>
          <w:b/>
          <w:bCs/>
          <w:color w:val="0D2731"/>
          <w:sz w:val="24"/>
          <w:szCs w:val="24"/>
          <w:bdr w:val="none" w:sz="0" w:space="0" w:color="auto" w:frame="1"/>
          <w:lang w:eastAsia="pt-BR"/>
        </w:rPr>
        <w:t>MARCOS BEZERRA ABBOTT GALVÃO</w:t>
      </w:r>
    </w:p>
    <w:p w:rsidR="00113BE3" w:rsidRPr="00505368" w:rsidRDefault="00113BE3" w:rsidP="00505368">
      <w:pPr>
        <w:shd w:val="clear" w:color="auto" w:fill="FFFFFF"/>
        <w:spacing w:before="150" w:after="150" w:line="240" w:lineRule="auto"/>
        <w:textAlignment w:val="top"/>
        <w:rPr>
          <w:rFonts w:eastAsia="Times New Roman" w:cs="Times New Roman"/>
          <w:color w:val="0D2731"/>
          <w:sz w:val="24"/>
          <w:szCs w:val="24"/>
          <w:lang w:eastAsia="pt-BR"/>
        </w:rPr>
      </w:pPr>
      <w:r w:rsidRPr="00505368">
        <w:rPr>
          <w:rFonts w:eastAsia="Times New Roman" w:cs="Times New Roman"/>
          <w:color w:val="0D2731"/>
          <w:sz w:val="24"/>
          <w:szCs w:val="24"/>
          <w:lang w:eastAsia="pt-BR"/>
        </w:rPr>
        <w:t xml:space="preserve">Presidente, interino, do Comitê Executivo de Gestão – </w:t>
      </w:r>
      <w:proofErr w:type="spellStart"/>
      <w:r w:rsidRPr="00505368">
        <w:rPr>
          <w:rFonts w:eastAsia="Times New Roman" w:cs="Times New Roman"/>
          <w:color w:val="0D2731"/>
          <w:sz w:val="24"/>
          <w:szCs w:val="24"/>
          <w:lang w:eastAsia="pt-BR"/>
        </w:rPr>
        <w:t>Gecex</w:t>
      </w:r>
      <w:proofErr w:type="spellEnd"/>
    </w:p>
    <w:p w:rsidR="00113BE3" w:rsidRPr="00505368" w:rsidRDefault="00113BE3" w:rsidP="00505368">
      <w:pPr>
        <w:shd w:val="clear" w:color="auto" w:fill="FFFFFF"/>
        <w:spacing w:before="150" w:after="150" w:line="240" w:lineRule="auto"/>
        <w:textAlignment w:val="top"/>
        <w:rPr>
          <w:rFonts w:eastAsia="Times New Roman" w:cs="Times New Roman"/>
          <w:color w:val="0D2731"/>
          <w:sz w:val="24"/>
          <w:szCs w:val="24"/>
          <w:lang w:eastAsia="pt-BR"/>
        </w:rPr>
      </w:pPr>
      <w:r w:rsidRPr="00505368">
        <w:rPr>
          <w:rFonts w:eastAsia="Times New Roman" w:cs="Times New Roman"/>
          <w:color w:val="0D2731"/>
          <w:sz w:val="24"/>
          <w:szCs w:val="24"/>
          <w:lang w:eastAsia="pt-BR"/>
        </w:rPr>
        <w:t>                                                                                    </w:t>
      </w:r>
    </w:p>
    <w:p w:rsidR="00B94D6C" w:rsidRPr="00505368" w:rsidRDefault="00B94D6C" w:rsidP="00505368">
      <w:pPr>
        <w:shd w:val="clear" w:color="auto" w:fill="FFFFFF"/>
        <w:spacing w:before="150" w:after="150" w:line="240" w:lineRule="auto"/>
        <w:textAlignment w:val="top"/>
        <w:rPr>
          <w:rFonts w:eastAsia="Times New Roman" w:cs="Times New Roman"/>
          <w:color w:val="0D2731"/>
          <w:sz w:val="24"/>
          <w:szCs w:val="24"/>
          <w:lang w:eastAsia="pt-BR"/>
        </w:rPr>
      </w:pPr>
    </w:p>
    <w:p w:rsidR="00B94D6C" w:rsidRPr="00505368" w:rsidRDefault="00B94D6C" w:rsidP="00505368">
      <w:pPr>
        <w:spacing w:after="0" w:line="240" w:lineRule="auto"/>
        <w:jc w:val="center"/>
        <w:textAlignment w:val="top"/>
        <w:rPr>
          <w:rFonts w:eastAsia="Times New Roman" w:cs="Times New Roman"/>
          <w:b/>
          <w:color w:val="000000"/>
          <w:sz w:val="24"/>
          <w:szCs w:val="24"/>
          <w:lang w:eastAsia="pt-BR"/>
        </w:rPr>
      </w:pPr>
      <w:r w:rsidRPr="00505368">
        <w:rPr>
          <w:rFonts w:eastAsia="Times New Roman" w:cs="Times New Roman"/>
          <w:b/>
          <w:color w:val="000000"/>
          <w:sz w:val="24"/>
          <w:szCs w:val="24"/>
          <w:lang w:eastAsia="pt-BR"/>
        </w:rPr>
        <w:t>RESOLUÇÃO</w:t>
      </w:r>
      <w:r w:rsidR="00505368" w:rsidRPr="00505368">
        <w:rPr>
          <w:rFonts w:eastAsia="Times New Roman" w:cs="Times New Roman"/>
          <w:b/>
          <w:color w:val="000000"/>
          <w:sz w:val="24"/>
          <w:szCs w:val="24"/>
          <w:lang w:eastAsia="pt-BR"/>
        </w:rPr>
        <w:t xml:space="preserve"> CAMEX</w:t>
      </w:r>
      <w:r w:rsidRPr="00505368">
        <w:rPr>
          <w:rFonts w:eastAsia="Times New Roman" w:cs="Times New Roman"/>
          <w:b/>
          <w:color w:val="000000"/>
          <w:sz w:val="24"/>
          <w:szCs w:val="24"/>
          <w:lang w:eastAsia="pt-BR"/>
        </w:rPr>
        <w:t xml:space="preserve"> N</w:t>
      </w:r>
      <w:r w:rsidRPr="00505368">
        <w:rPr>
          <w:rFonts w:eastAsia="Times New Roman" w:cs="Times New Roman"/>
          <w:b/>
          <w:strike/>
          <w:color w:val="000000"/>
          <w:sz w:val="24"/>
          <w:szCs w:val="24"/>
          <w:bdr w:val="none" w:sz="0" w:space="0" w:color="auto" w:frame="1"/>
          <w:lang w:eastAsia="pt-BR"/>
        </w:rPr>
        <w:t>º</w:t>
      </w:r>
      <w:r w:rsidRPr="00505368">
        <w:rPr>
          <w:rFonts w:eastAsia="Times New Roman" w:cs="Times New Roman"/>
          <w:b/>
          <w:color w:val="000000"/>
          <w:sz w:val="24"/>
          <w:szCs w:val="24"/>
          <w:lang w:eastAsia="pt-BR"/>
        </w:rPr>
        <w:t> 128, DE 22 DE DEZEMBRO DE 2016(D.O.U. de 23/12/2016)</w:t>
      </w:r>
    </w:p>
    <w:p w:rsidR="00505368" w:rsidRPr="00505368" w:rsidRDefault="00505368" w:rsidP="00505368">
      <w:pPr>
        <w:spacing w:after="0" w:line="240" w:lineRule="auto"/>
        <w:textAlignment w:val="top"/>
        <w:rPr>
          <w:rFonts w:eastAsia="Times New Roman" w:cs="Times New Roman"/>
          <w:color w:val="000000"/>
          <w:sz w:val="24"/>
          <w:szCs w:val="24"/>
          <w:lang w:eastAsia="pt-BR"/>
        </w:rPr>
      </w:pPr>
    </w:p>
    <w:p w:rsidR="00B94D6C" w:rsidRPr="00505368" w:rsidRDefault="00B94D6C" w:rsidP="00505368">
      <w:pPr>
        <w:spacing w:after="24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Aplica direito antidumping provisório, por um prazo de até 6 (seis) meses, às importações brasileiras de cordoalhas de aço de alto teor de carbono, de alta resistência, de 3 ou 7 fios, de baixa relaxação, originárias da República Popular da China.</w:t>
      </w:r>
    </w:p>
    <w:p w:rsidR="00B94D6C" w:rsidRPr="00505368" w:rsidRDefault="00B94D6C" w:rsidP="00505368">
      <w:pPr>
        <w:spacing w:after="240" w:line="240" w:lineRule="auto"/>
        <w:textAlignment w:val="top"/>
        <w:rPr>
          <w:rFonts w:eastAsia="Times New Roman" w:cs="Times New Roman"/>
          <w:color w:val="000000"/>
          <w:sz w:val="24"/>
          <w:szCs w:val="24"/>
          <w:lang w:eastAsia="pt-BR"/>
        </w:rPr>
      </w:pPr>
      <w:r w:rsidRPr="00505368">
        <w:rPr>
          <w:rFonts w:eastAsia="Times New Roman" w:cs="Times New Roman"/>
          <w:b/>
          <w:bCs/>
          <w:color w:val="000000"/>
          <w:sz w:val="24"/>
          <w:szCs w:val="24"/>
          <w:bdr w:val="none" w:sz="0" w:space="0" w:color="auto" w:frame="1"/>
          <w:lang w:eastAsia="pt-BR"/>
        </w:rPr>
        <w:t>O COMITÊ EXECUTIVO DE GESTÃO – GECEX – DA CÂMARA DE COMÉRCIO EXTERIOR – CAMEX</w:t>
      </w:r>
      <w:r w:rsidRPr="00505368">
        <w:rPr>
          <w:rFonts w:eastAsia="Times New Roman" w:cs="Times New Roman"/>
          <w:color w:val="000000"/>
          <w:sz w:val="24"/>
          <w:szCs w:val="24"/>
          <w:lang w:eastAsia="pt-BR"/>
        </w:rPr>
        <w:t>, por intermédio de seu Presidente, interino, no uso da atribuição que lhe confere o § 8</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do art. 5</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do Decreto n</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4.732, de 10 de junho de 2003, para o exercício da competência designada no inciso II do § 4</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xml:space="preserve"> do mesmo dispositivo, e com fundamento </w:t>
      </w:r>
      <w:r w:rsidRPr="00505368">
        <w:rPr>
          <w:rFonts w:eastAsia="Times New Roman" w:cs="Times New Roman"/>
          <w:color w:val="000000"/>
          <w:sz w:val="24"/>
          <w:szCs w:val="24"/>
          <w:lang w:eastAsia="pt-BR"/>
        </w:rPr>
        <w:lastRenderedPageBreak/>
        <w:t>no inciso XV do art. 2</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do mesmo diploma legal, bem como o inciso II do art. 18 do Anexo da Resolução CAMEX n</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77, de 21 de setembro de 2016,</w:t>
      </w:r>
    </w:p>
    <w:p w:rsidR="00B94D6C" w:rsidRPr="00505368" w:rsidRDefault="00B94D6C" w:rsidP="00505368">
      <w:pPr>
        <w:spacing w:after="240" w:line="240" w:lineRule="auto"/>
        <w:textAlignment w:val="top"/>
        <w:rPr>
          <w:rFonts w:eastAsia="Times New Roman" w:cs="Times New Roman"/>
          <w:color w:val="000000"/>
          <w:sz w:val="24"/>
          <w:szCs w:val="24"/>
          <w:lang w:eastAsia="pt-BR"/>
        </w:rPr>
      </w:pPr>
      <w:r w:rsidRPr="00505368">
        <w:rPr>
          <w:rFonts w:eastAsia="Times New Roman" w:cs="Times New Roman"/>
          <w:b/>
          <w:bCs/>
          <w:color w:val="000000"/>
          <w:sz w:val="24"/>
          <w:szCs w:val="24"/>
          <w:bdr w:val="none" w:sz="0" w:space="0" w:color="auto" w:frame="1"/>
          <w:lang w:eastAsia="pt-BR"/>
        </w:rPr>
        <w:t>CONSIDERANDO</w:t>
      </w:r>
      <w:r w:rsidRPr="00505368">
        <w:rPr>
          <w:rFonts w:eastAsia="Times New Roman" w:cs="Times New Roman"/>
          <w:color w:val="000000"/>
          <w:sz w:val="24"/>
          <w:szCs w:val="24"/>
          <w:lang w:eastAsia="pt-BR"/>
        </w:rPr>
        <w:t> o que consta dos autos do Processo MDIC/SECEX 52272.001382/2016-68 e na Circular SECEX n</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68, de 17 de novembro de 2016,</w:t>
      </w:r>
    </w:p>
    <w:p w:rsidR="00B94D6C" w:rsidRPr="00505368" w:rsidRDefault="00B94D6C" w:rsidP="00505368">
      <w:pPr>
        <w:spacing w:after="240" w:line="240" w:lineRule="auto"/>
        <w:textAlignment w:val="top"/>
        <w:rPr>
          <w:rFonts w:eastAsia="Times New Roman" w:cs="Times New Roman"/>
          <w:color w:val="000000"/>
          <w:sz w:val="24"/>
          <w:szCs w:val="24"/>
          <w:lang w:eastAsia="pt-BR"/>
        </w:rPr>
      </w:pPr>
      <w:r w:rsidRPr="00505368">
        <w:rPr>
          <w:rFonts w:eastAsia="Times New Roman" w:cs="Times New Roman"/>
          <w:b/>
          <w:bCs/>
          <w:color w:val="000000"/>
          <w:sz w:val="24"/>
          <w:szCs w:val="24"/>
          <w:bdr w:val="none" w:sz="0" w:space="0" w:color="auto" w:frame="1"/>
          <w:lang w:eastAsia="pt-BR"/>
        </w:rPr>
        <w:t>RESOLVE,</w:t>
      </w:r>
      <w:r w:rsidRPr="00505368">
        <w:rPr>
          <w:rFonts w:eastAsia="Times New Roman" w:cs="Times New Roman"/>
          <w:color w:val="000000"/>
          <w:sz w:val="24"/>
          <w:szCs w:val="24"/>
          <w:lang w:eastAsia="pt-BR"/>
        </w:rPr>
        <w:t> </w:t>
      </w:r>
      <w:r w:rsidRPr="00505368">
        <w:rPr>
          <w:rFonts w:eastAsia="Times New Roman" w:cs="Times New Roman"/>
          <w:b/>
          <w:bCs/>
          <w:color w:val="000000"/>
          <w:sz w:val="24"/>
          <w:szCs w:val="24"/>
          <w:bdr w:val="none" w:sz="0" w:space="0" w:color="auto" w:frame="1"/>
          <w:lang w:eastAsia="pt-BR"/>
        </w:rPr>
        <w:t xml:space="preserve">ad </w:t>
      </w:r>
      <w:proofErr w:type="spellStart"/>
      <w:r w:rsidRPr="00505368">
        <w:rPr>
          <w:rFonts w:eastAsia="Times New Roman" w:cs="Times New Roman"/>
          <w:b/>
          <w:bCs/>
          <w:color w:val="000000"/>
          <w:sz w:val="24"/>
          <w:szCs w:val="24"/>
          <w:bdr w:val="none" w:sz="0" w:space="0" w:color="auto" w:frame="1"/>
          <w:lang w:eastAsia="pt-BR"/>
        </w:rPr>
        <w:t>referendum</w:t>
      </w:r>
      <w:r w:rsidRPr="00505368">
        <w:rPr>
          <w:rFonts w:eastAsia="Times New Roman" w:cs="Times New Roman"/>
          <w:color w:val="000000"/>
          <w:sz w:val="24"/>
          <w:szCs w:val="24"/>
          <w:lang w:eastAsia="pt-BR"/>
        </w:rPr>
        <w:t>do</w:t>
      </w:r>
      <w:proofErr w:type="spellEnd"/>
      <w:r w:rsidRPr="00505368">
        <w:rPr>
          <w:rFonts w:eastAsia="Times New Roman" w:cs="Times New Roman"/>
          <w:color w:val="000000"/>
          <w:sz w:val="24"/>
          <w:szCs w:val="24"/>
          <w:lang w:eastAsia="pt-BR"/>
        </w:rPr>
        <w:t xml:space="preserve"> Conselho:</w:t>
      </w:r>
    </w:p>
    <w:p w:rsidR="00B94D6C" w:rsidRPr="00505368" w:rsidRDefault="00B94D6C" w:rsidP="00505368">
      <w:pPr>
        <w:spacing w:after="24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Art. 1</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Aplicar direito antidumping provisório, por um prazo de até 6 (seis) meses, às importações brasileiras de cordoalhas de aço de alto teor de carbono, de alta resistência, de 3 ou 7 fios, de baixa relaxação, comumente classificadas no item 7312.10.90 da Nomenclatura Comum do Mercosul – NCM, originárias da República Popular da China, a ser recolhido sob a forma de alíquota específica fixada em dólares estadunidenses por tonelada, nos montantes abaixo especificados:</w:t>
      </w:r>
    </w:p>
    <w:tbl>
      <w:tblPr>
        <w:tblW w:w="10785" w:type="dxa"/>
        <w:tblCellMar>
          <w:left w:w="0" w:type="dxa"/>
          <w:right w:w="0" w:type="dxa"/>
        </w:tblCellMar>
        <w:tblLook w:val="04A0" w:firstRow="1" w:lastRow="0" w:firstColumn="1" w:lastColumn="0" w:noHBand="0" w:noVBand="1"/>
      </w:tblPr>
      <w:tblGrid>
        <w:gridCol w:w="982"/>
        <w:gridCol w:w="5882"/>
        <w:gridCol w:w="3921"/>
      </w:tblGrid>
      <w:tr w:rsidR="00B94D6C" w:rsidRPr="00B94D6C" w:rsidTr="00B94D6C">
        <w:tc>
          <w:tcPr>
            <w:tcW w:w="45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94D6C" w:rsidRPr="00B94D6C" w:rsidRDefault="00B94D6C" w:rsidP="00B94D6C">
            <w:pPr>
              <w:spacing w:after="0" w:line="360" w:lineRule="atLeast"/>
              <w:jc w:val="center"/>
              <w:textAlignment w:val="top"/>
              <w:rPr>
                <w:rFonts w:ascii="Trebuchet MS" w:eastAsia="Times New Roman" w:hAnsi="Trebuchet MS" w:cs="Times New Roman"/>
                <w:color w:val="0D2731"/>
                <w:sz w:val="18"/>
                <w:szCs w:val="18"/>
                <w:lang w:eastAsia="pt-BR"/>
              </w:rPr>
            </w:pPr>
            <w:r w:rsidRPr="00B94D6C">
              <w:rPr>
                <w:rFonts w:ascii="Trebuchet MS" w:eastAsia="Times New Roman" w:hAnsi="Trebuchet MS" w:cs="Times New Roman"/>
                <w:color w:val="0D2731"/>
                <w:sz w:val="18"/>
                <w:szCs w:val="18"/>
                <w:lang w:eastAsia="pt-BR"/>
              </w:rPr>
              <w:t>Origem</w:t>
            </w:r>
          </w:p>
        </w:tc>
        <w:tc>
          <w:tcPr>
            <w:tcW w:w="27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94D6C" w:rsidRPr="00B94D6C" w:rsidRDefault="00B94D6C" w:rsidP="00B94D6C">
            <w:pPr>
              <w:spacing w:after="0" w:line="360" w:lineRule="atLeast"/>
              <w:jc w:val="center"/>
              <w:textAlignment w:val="top"/>
              <w:rPr>
                <w:rFonts w:ascii="Trebuchet MS" w:eastAsia="Times New Roman" w:hAnsi="Trebuchet MS" w:cs="Times New Roman"/>
                <w:color w:val="0D2731"/>
                <w:sz w:val="18"/>
                <w:szCs w:val="18"/>
                <w:lang w:eastAsia="pt-BR"/>
              </w:rPr>
            </w:pPr>
            <w:r w:rsidRPr="00B94D6C">
              <w:rPr>
                <w:rFonts w:ascii="Trebuchet MS" w:eastAsia="Times New Roman" w:hAnsi="Trebuchet MS" w:cs="Times New Roman"/>
                <w:color w:val="0D2731"/>
                <w:sz w:val="18"/>
                <w:szCs w:val="18"/>
                <w:lang w:eastAsia="pt-BR"/>
              </w:rPr>
              <w:t>Produtor/Exportador</w:t>
            </w:r>
          </w:p>
        </w:tc>
        <w:tc>
          <w:tcPr>
            <w:tcW w:w="18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94D6C" w:rsidRPr="00B94D6C" w:rsidRDefault="00B94D6C" w:rsidP="00B94D6C">
            <w:pPr>
              <w:spacing w:after="0" w:line="360" w:lineRule="atLeast"/>
              <w:jc w:val="center"/>
              <w:textAlignment w:val="top"/>
              <w:rPr>
                <w:rFonts w:ascii="Trebuchet MS" w:eastAsia="Times New Roman" w:hAnsi="Trebuchet MS" w:cs="Times New Roman"/>
                <w:color w:val="0D2731"/>
                <w:sz w:val="18"/>
                <w:szCs w:val="18"/>
                <w:lang w:eastAsia="pt-BR"/>
              </w:rPr>
            </w:pPr>
            <w:r w:rsidRPr="00B94D6C">
              <w:rPr>
                <w:rFonts w:ascii="Trebuchet MS" w:eastAsia="Times New Roman" w:hAnsi="Trebuchet MS" w:cs="Times New Roman"/>
                <w:color w:val="0D2731"/>
                <w:sz w:val="18"/>
                <w:szCs w:val="18"/>
                <w:lang w:eastAsia="pt-BR"/>
              </w:rPr>
              <w:t>Direito Antidumping Provisório (em US$/t)</w:t>
            </w:r>
          </w:p>
        </w:tc>
      </w:tr>
      <w:tr w:rsidR="00B94D6C" w:rsidRPr="00B94D6C" w:rsidTr="00B94D6C">
        <w:tc>
          <w:tcPr>
            <w:tcW w:w="450" w:type="pct"/>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94D6C" w:rsidRPr="00B94D6C" w:rsidRDefault="00B94D6C" w:rsidP="00B94D6C">
            <w:pPr>
              <w:spacing w:after="0" w:line="360" w:lineRule="atLeast"/>
              <w:jc w:val="left"/>
              <w:textAlignment w:val="top"/>
              <w:rPr>
                <w:rFonts w:ascii="Trebuchet MS" w:eastAsia="Times New Roman" w:hAnsi="Trebuchet MS" w:cs="Times New Roman"/>
                <w:color w:val="0D2731"/>
                <w:sz w:val="18"/>
                <w:szCs w:val="18"/>
                <w:lang w:eastAsia="pt-BR"/>
              </w:rPr>
            </w:pPr>
            <w:r w:rsidRPr="00B94D6C">
              <w:rPr>
                <w:rFonts w:ascii="Trebuchet MS" w:eastAsia="Times New Roman" w:hAnsi="Trebuchet MS" w:cs="Times New Roman"/>
                <w:color w:val="0D2731"/>
                <w:sz w:val="18"/>
                <w:szCs w:val="18"/>
                <w:lang w:eastAsia="pt-BR"/>
              </w:rPr>
              <w:t>China</w:t>
            </w:r>
          </w:p>
        </w:tc>
        <w:tc>
          <w:tcPr>
            <w:tcW w:w="27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94D6C" w:rsidRPr="00B94D6C" w:rsidRDefault="00B94D6C" w:rsidP="00B94D6C">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B94D6C">
              <w:rPr>
                <w:rFonts w:ascii="Trebuchet MS" w:eastAsia="Times New Roman" w:hAnsi="Trebuchet MS" w:cs="Times New Roman"/>
                <w:color w:val="0D2731"/>
                <w:sz w:val="18"/>
                <w:szCs w:val="18"/>
                <w:lang w:eastAsia="pt-BR"/>
              </w:rPr>
              <w:t>Silvery</w:t>
            </w:r>
            <w:proofErr w:type="spellEnd"/>
            <w:r w:rsidRPr="00B94D6C">
              <w:rPr>
                <w:rFonts w:ascii="Trebuchet MS" w:eastAsia="Times New Roman" w:hAnsi="Trebuchet MS" w:cs="Times New Roman"/>
                <w:color w:val="0D2731"/>
                <w:sz w:val="18"/>
                <w:szCs w:val="18"/>
                <w:lang w:eastAsia="pt-BR"/>
              </w:rPr>
              <w:t xml:space="preserve"> Dragon </w:t>
            </w:r>
            <w:proofErr w:type="spellStart"/>
            <w:r w:rsidRPr="00B94D6C">
              <w:rPr>
                <w:rFonts w:ascii="Trebuchet MS" w:eastAsia="Times New Roman" w:hAnsi="Trebuchet MS" w:cs="Times New Roman"/>
                <w:color w:val="0D2731"/>
                <w:sz w:val="18"/>
                <w:szCs w:val="18"/>
                <w:lang w:eastAsia="pt-BR"/>
              </w:rPr>
              <w:t>Prestressed</w:t>
            </w:r>
            <w:proofErr w:type="spellEnd"/>
            <w:r w:rsidRPr="00B94D6C">
              <w:rPr>
                <w:rFonts w:ascii="Trebuchet MS" w:eastAsia="Times New Roman" w:hAnsi="Trebuchet MS" w:cs="Times New Roman"/>
                <w:color w:val="0D2731"/>
                <w:sz w:val="18"/>
                <w:szCs w:val="18"/>
                <w:lang w:eastAsia="pt-BR"/>
              </w:rPr>
              <w:t xml:space="preserve"> </w:t>
            </w:r>
            <w:proofErr w:type="spellStart"/>
            <w:r w:rsidRPr="00B94D6C">
              <w:rPr>
                <w:rFonts w:ascii="Trebuchet MS" w:eastAsia="Times New Roman" w:hAnsi="Trebuchet MS" w:cs="Times New Roman"/>
                <w:color w:val="0D2731"/>
                <w:sz w:val="18"/>
                <w:szCs w:val="18"/>
                <w:lang w:eastAsia="pt-BR"/>
              </w:rPr>
              <w:t>Materials</w:t>
            </w:r>
            <w:proofErr w:type="spellEnd"/>
            <w:r w:rsidRPr="00B94D6C">
              <w:rPr>
                <w:rFonts w:ascii="Trebuchet MS" w:eastAsia="Times New Roman" w:hAnsi="Trebuchet MS" w:cs="Times New Roman"/>
                <w:color w:val="0D2731"/>
                <w:sz w:val="18"/>
                <w:szCs w:val="18"/>
                <w:lang w:eastAsia="pt-BR"/>
              </w:rPr>
              <w:t xml:space="preserve"> </w:t>
            </w:r>
            <w:proofErr w:type="spellStart"/>
            <w:r w:rsidRPr="00B94D6C">
              <w:rPr>
                <w:rFonts w:ascii="Trebuchet MS" w:eastAsia="Times New Roman" w:hAnsi="Trebuchet MS" w:cs="Times New Roman"/>
                <w:color w:val="0D2731"/>
                <w:sz w:val="18"/>
                <w:szCs w:val="18"/>
                <w:lang w:eastAsia="pt-BR"/>
              </w:rPr>
              <w:t>Co</w:t>
            </w:r>
            <w:proofErr w:type="spellEnd"/>
            <w:r w:rsidRPr="00B94D6C">
              <w:rPr>
                <w:rFonts w:ascii="Trebuchet MS" w:eastAsia="Times New Roman" w:hAnsi="Trebuchet MS" w:cs="Times New Roman"/>
                <w:color w:val="0D2731"/>
                <w:sz w:val="18"/>
                <w:szCs w:val="18"/>
                <w:lang w:eastAsia="pt-BR"/>
              </w:rPr>
              <w:t xml:space="preserve">., </w:t>
            </w:r>
            <w:proofErr w:type="spellStart"/>
            <w:r w:rsidRPr="00B94D6C">
              <w:rPr>
                <w:rFonts w:ascii="Trebuchet MS" w:eastAsia="Times New Roman" w:hAnsi="Trebuchet MS" w:cs="Times New Roman"/>
                <w:color w:val="0D2731"/>
                <w:sz w:val="18"/>
                <w:szCs w:val="18"/>
                <w:lang w:eastAsia="pt-BR"/>
              </w:rPr>
              <w:t>Ltd</w:t>
            </w:r>
            <w:proofErr w:type="spellEnd"/>
            <w:r w:rsidRPr="00B94D6C">
              <w:rPr>
                <w:rFonts w:ascii="Trebuchet MS" w:eastAsia="Times New Roman" w:hAnsi="Trebuchet MS" w:cs="Times New Roman"/>
                <w:color w:val="0D2731"/>
                <w:sz w:val="18"/>
                <w:szCs w:val="18"/>
                <w:lang w:eastAsia="pt-BR"/>
              </w:rPr>
              <w:t>.</w:t>
            </w:r>
          </w:p>
        </w:tc>
        <w:tc>
          <w:tcPr>
            <w:tcW w:w="18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94D6C" w:rsidRPr="00B94D6C" w:rsidRDefault="00B94D6C" w:rsidP="00B94D6C">
            <w:pPr>
              <w:spacing w:after="0" w:line="360" w:lineRule="atLeast"/>
              <w:jc w:val="center"/>
              <w:textAlignment w:val="top"/>
              <w:rPr>
                <w:rFonts w:ascii="Trebuchet MS" w:eastAsia="Times New Roman" w:hAnsi="Trebuchet MS" w:cs="Times New Roman"/>
                <w:color w:val="0D2731"/>
                <w:sz w:val="18"/>
                <w:szCs w:val="18"/>
                <w:lang w:eastAsia="pt-BR"/>
              </w:rPr>
            </w:pPr>
            <w:r w:rsidRPr="00B94D6C">
              <w:rPr>
                <w:rFonts w:ascii="Trebuchet MS" w:eastAsia="Times New Roman" w:hAnsi="Trebuchet MS" w:cs="Times New Roman"/>
                <w:color w:val="0D2731"/>
                <w:sz w:val="18"/>
                <w:szCs w:val="18"/>
                <w:lang w:eastAsia="pt-BR"/>
              </w:rPr>
              <w:t>351,30</w:t>
            </w:r>
          </w:p>
        </w:tc>
      </w:tr>
      <w:tr w:rsidR="00B94D6C" w:rsidRPr="00B94D6C" w:rsidTr="00B94D6C">
        <w:tc>
          <w:tcPr>
            <w:tcW w:w="0" w:type="auto"/>
            <w:vMerge/>
            <w:tcBorders>
              <w:top w:val="single" w:sz="6" w:space="0" w:color="6196A5"/>
              <w:left w:val="single" w:sz="6" w:space="0" w:color="6196A5"/>
              <w:bottom w:val="single" w:sz="6" w:space="0" w:color="6196A5"/>
              <w:right w:val="single" w:sz="6" w:space="0" w:color="6196A5"/>
            </w:tcBorders>
            <w:hideMark/>
          </w:tcPr>
          <w:p w:rsidR="00B94D6C" w:rsidRPr="00B94D6C" w:rsidRDefault="00B94D6C" w:rsidP="00B94D6C">
            <w:pPr>
              <w:spacing w:after="0" w:line="240" w:lineRule="auto"/>
              <w:jc w:val="left"/>
              <w:rPr>
                <w:rFonts w:ascii="Trebuchet MS" w:eastAsia="Times New Roman" w:hAnsi="Trebuchet MS" w:cs="Times New Roman"/>
                <w:color w:val="0D2731"/>
                <w:sz w:val="18"/>
                <w:szCs w:val="18"/>
                <w:lang w:eastAsia="pt-BR"/>
              </w:rPr>
            </w:pPr>
          </w:p>
        </w:tc>
        <w:tc>
          <w:tcPr>
            <w:tcW w:w="27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94D6C" w:rsidRPr="00B94D6C" w:rsidRDefault="00B94D6C" w:rsidP="00B94D6C">
            <w:pPr>
              <w:spacing w:after="0" w:line="360" w:lineRule="atLeast"/>
              <w:jc w:val="left"/>
              <w:textAlignment w:val="top"/>
              <w:rPr>
                <w:rFonts w:ascii="Trebuchet MS" w:eastAsia="Times New Roman" w:hAnsi="Trebuchet MS" w:cs="Times New Roman"/>
                <w:color w:val="0D2731"/>
                <w:sz w:val="18"/>
                <w:szCs w:val="18"/>
                <w:lang w:eastAsia="pt-BR"/>
              </w:rPr>
            </w:pPr>
            <w:r w:rsidRPr="00B94D6C">
              <w:rPr>
                <w:rFonts w:ascii="Trebuchet MS" w:eastAsia="Times New Roman" w:hAnsi="Trebuchet MS" w:cs="Times New Roman"/>
                <w:color w:val="0D2731"/>
                <w:sz w:val="18"/>
                <w:szCs w:val="18"/>
                <w:lang w:eastAsia="pt-BR"/>
              </w:rPr>
              <w:t xml:space="preserve">Global </w:t>
            </w:r>
            <w:proofErr w:type="spellStart"/>
            <w:r w:rsidRPr="00B94D6C">
              <w:rPr>
                <w:rFonts w:ascii="Trebuchet MS" w:eastAsia="Times New Roman" w:hAnsi="Trebuchet MS" w:cs="Times New Roman"/>
                <w:color w:val="0D2731"/>
                <w:sz w:val="18"/>
                <w:szCs w:val="18"/>
                <w:lang w:eastAsia="pt-BR"/>
              </w:rPr>
              <w:t>Overseas</w:t>
            </w:r>
            <w:proofErr w:type="spellEnd"/>
            <w:r w:rsidRPr="00B94D6C">
              <w:rPr>
                <w:rFonts w:ascii="Trebuchet MS" w:eastAsia="Times New Roman" w:hAnsi="Trebuchet MS" w:cs="Times New Roman"/>
                <w:color w:val="0D2731"/>
                <w:sz w:val="18"/>
                <w:szCs w:val="18"/>
                <w:lang w:eastAsia="pt-BR"/>
              </w:rPr>
              <w:t xml:space="preserve"> </w:t>
            </w:r>
            <w:proofErr w:type="spellStart"/>
            <w:r w:rsidRPr="00B94D6C">
              <w:rPr>
                <w:rFonts w:ascii="Trebuchet MS" w:eastAsia="Times New Roman" w:hAnsi="Trebuchet MS" w:cs="Times New Roman"/>
                <w:color w:val="0D2731"/>
                <w:sz w:val="18"/>
                <w:szCs w:val="18"/>
                <w:lang w:eastAsia="pt-BR"/>
              </w:rPr>
              <w:t>Group</w:t>
            </w:r>
            <w:proofErr w:type="spellEnd"/>
            <w:r w:rsidRPr="00B94D6C">
              <w:rPr>
                <w:rFonts w:ascii="Trebuchet MS" w:eastAsia="Times New Roman" w:hAnsi="Trebuchet MS" w:cs="Times New Roman"/>
                <w:color w:val="0D2731"/>
                <w:sz w:val="18"/>
                <w:szCs w:val="18"/>
                <w:lang w:eastAsia="pt-BR"/>
              </w:rPr>
              <w:t xml:space="preserve"> </w:t>
            </w:r>
            <w:proofErr w:type="spellStart"/>
            <w:r w:rsidRPr="00B94D6C">
              <w:rPr>
                <w:rFonts w:ascii="Trebuchet MS" w:eastAsia="Times New Roman" w:hAnsi="Trebuchet MS" w:cs="Times New Roman"/>
                <w:color w:val="0D2731"/>
                <w:sz w:val="18"/>
                <w:szCs w:val="18"/>
                <w:lang w:eastAsia="pt-BR"/>
              </w:rPr>
              <w:t>Co</w:t>
            </w:r>
            <w:proofErr w:type="spellEnd"/>
            <w:r w:rsidRPr="00B94D6C">
              <w:rPr>
                <w:rFonts w:ascii="Trebuchet MS" w:eastAsia="Times New Roman" w:hAnsi="Trebuchet MS" w:cs="Times New Roman"/>
                <w:color w:val="0D2731"/>
                <w:sz w:val="18"/>
                <w:szCs w:val="18"/>
                <w:lang w:eastAsia="pt-BR"/>
              </w:rPr>
              <w:t xml:space="preserve">., </w:t>
            </w:r>
            <w:proofErr w:type="spellStart"/>
            <w:r w:rsidRPr="00B94D6C">
              <w:rPr>
                <w:rFonts w:ascii="Trebuchet MS" w:eastAsia="Times New Roman" w:hAnsi="Trebuchet MS" w:cs="Times New Roman"/>
                <w:color w:val="0D2731"/>
                <w:sz w:val="18"/>
                <w:szCs w:val="18"/>
                <w:lang w:eastAsia="pt-BR"/>
              </w:rPr>
              <w:t>Ltd</w:t>
            </w:r>
            <w:proofErr w:type="spellEnd"/>
            <w:r w:rsidRPr="00B94D6C">
              <w:rPr>
                <w:rFonts w:ascii="Trebuchet MS" w:eastAsia="Times New Roman" w:hAnsi="Trebuchet MS" w:cs="Times New Roman"/>
                <w:color w:val="0D2731"/>
                <w:sz w:val="18"/>
                <w:szCs w:val="18"/>
                <w:lang w:eastAsia="pt-BR"/>
              </w:rPr>
              <w:t>.</w:t>
            </w:r>
          </w:p>
        </w:tc>
        <w:tc>
          <w:tcPr>
            <w:tcW w:w="18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94D6C" w:rsidRPr="00B94D6C" w:rsidRDefault="00B94D6C" w:rsidP="00B94D6C">
            <w:pPr>
              <w:spacing w:after="0" w:line="360" w:lineRule="atLeast"/>
              <w:jc w:val="center"/>
              <w:textAlignment w:val="top"/>
              <w:rPr>
                <w:rFonts w:ascii="Trebuchet MS" w:eastAsia="Times New Roman" w:hAnsi="Trebuchet MS" w:cs="Times New Roman"/>
                <w:color w:val="0D2731"/>
                <w:sz w:val="18"/>
                <w:szCs w:val="18"/>
                <w:lang w:eastAsia="pt-BR"/>
              </w:rPr>
            </w:pPr>
            <w:r w:rsidRPr="00B94D6C">
              <w:rPr>
                <w:rFonts w:ascii="Trebuchet MS" w:eastAsia="Times New Roman" w:hAnsi="Trebuchet MS" w:cs="Times New Roman"/>
                <w:color w:val="0D2731"/>
                <w:sz w:val="18"/>
                <w:szCs w:val="18"/>
                <w:lang w:eastAsia="pt-BR"/>
              </w:rPr>
              <w:t>562,70</w:t>
            </w:r>
          </w:p>
        </w:tc>
      </w:tr>
      <w:tr w:rsidR="00B94D6C" w:rsidRPr="00B94D6C" w:rsidTr="00B94D6C">
        <w:tc>
          <w:tcPr>
            <w:tcW w:w="0" w:type="auto"/>
            <w:vMerge/>
            <w:tcBorders>
              <w:top w:val="single" w:sz="6" w:space="0" w:color="6196A5"/>
              <w:left w:val="single" w:sz="6" w:space="0" w:color="6196A5"/>
              <w:bottom w:val="single" w:sz="6" w:space="0" w:color="6196A5"/>
              <w:right w:val="single" w:sz="6" w:space="0" w:color="6196A5"/>
            </w:tcBorders>
            <w:hideMark/>
          </w:tcPr>
          <w:p w:rsidR="00B94D6C" w:rsidRPr="00B94D6C" w:rsidRDefault="00B94D6C" w:rsidP="00B94D6C">
            <w:pPr>
              <w:spacing w:after="0" w:line="240" w:lineRule="auto"/>
              <w:jc w:val="left"/>
              <w:rPr>
                <w:rFonts w:ascii="Trebuchet MS" w:eastAsia="Times New Roman" w:hAnsi="Trebuchet MS" w:cs="Times New Roman"/>
                <w:color w:val="0D2731"/>
                <w:sz w:val="18"/>
                <w:szCs w:val="18"/>
                <w:lang w:eastAsia="pt-BR"/>
              </w:rPr>
            </w:pPr>
          </w:p>
        </w:tc>
        <w:tc>
          <w:tcPr>
            <w:tcW w:w="27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94D6C" w:rsidRPr="00B94D6C" w:rsidRDefault="00B94D6C" w:rsidP="00B94D6C">
            <w:pPr>
              <w:spacing w:after="0" w:line="360" w:lineRule="atLeast"/>
              <w:jc w:val="left"/>
              <w:textAlignment w:val="top"/>
              <w:rPr>
                <w:rFonts w:ascii="Trebuchet MS" w:eastAsia="Times New Roman" w:hAnsi="Trebuchet MS" w:cs="Times New Roman"/>
                <w:color w:val="0D2731"/>
                <w:sz w:val="18"/>
                <w:szCs w:val="18"/>
                <w:lang w:eastAsia="pt-BR"/>
              </w:rPr>
            </w:pPr>
            <w:r w:rsidRPr="00B94D6C">
              <w:rPr>
                <w:rFonts w:ascii="Trebuchet MS" w:eastAsia="Times New Roman" w:hAnsi="Trebuchet MS" w:cs="Times New Roman"/>
                <w:color w:val="0D2731"/>
                <w:sz w:val="18"/>
                <w:szCs w:val="18"/>
                <w:lang w:eastAsia="pt-BR"/>
              </w:rPr>
              <w:t xml:space="preserve">Tianjin </w:t>
            </w:r>
            <w:proofErr w:type="spellStart"/>
            <w:r w:rsidRPr="00B94D6C">
              <w:rPr>
                <w:rFonts w:ascii="Trebuchet MS" w:eastAsia="Times New Roman" w:hAnsi="Trebuchet MS" w:cs="Times New Roman"/>
                <w:color w:val="0D2731"/>
                <w:sz w:val="18"/>
                <w:szCs w:val="18"/>
                <w:lang w:eastAsia="pt-BR"/>
              </w:rPr>
              <w:t>Yuheng</w:t>
            </w:r>
            <w:proofErr w:type="spellEnd"/>
            <w:r w:rsidRPr="00B94D6C">
              <w:rPr>
                <w:rFonts w:ascii="Trebuchet MS" w:eastAsia="Times New Roman" w:hAnsi="Trebuchet MS" w:cs="Times New Roman"/>
                <w:color w:val="0D2731"/>
                <w:sz w:val="18"/>
                <w:szCs w:val="18"/>
                <w:lang w:eastAsia="pt-BR"/>
              </w:rPr>
              <w:t xml:space="preserve"> </w:t>
            </w:r>
            <w:proofErr w:type="spellStart"/>
            <w:r w:rsidRPr="00B94D6C">
              <w:rPr>
                <w:rFonts w:ascii="Trebuchet MS" w:eastAsia="Times New Roman" w:hAnsi="Trebuchet MS" w:cs="Times New Roman"/>
                <w:color w:val="0D2731"/>
                <w:sz w:val="18"/>
                <w:szCs w:val="18"/>
                <w:lang w:eastAsia="pt-BR"/>
              </w:rPr>
              <w:t>Prestressed</w:t>
            </w:r>
            <w:proofErr w:type="spellEnd"/>
            <w:r w:rsidRPr="00B94D6C">
              <w:rPr>
                <w:rFonts w:ascii="Trebuchet MS" w:eastAsia="Times New Roman" w:hAnsi="Trebuchet MS" w:cs="Times New Roman"/>
                <w:color w:val="0D2731"/>
                <w:sz w:val="18"/>
                <w:szCs w:val="18"/>
                <w:lang w:eastAsia="pt-BR"/>
              </w:rPr>
              <w:t xml:space="preserve"> Concrete Steel </w:t>
            </w:r>
            <w:proofErr w:type="spellStart"/>
            <w:r w:rsidRPr="00B94D6C">
              <w:rPr>
                <w:rFonts w:ascii="Trebuchet MS" w:eastAsia="Times New Roman" w:hAnsi="Trebuchet MS" w:cs="Times New Roman"/>
                <w:color w:val="0D2731"/>
                <w:sz w:val="18"/>
                <w:szCs w:val="18"/>
                <w:lang w:eastAsia="pt-BR"/>
              </w:rPr>
              <w:t>Strand</w:t>
            </w:r>
            <w:proofErr w:type="spellEnd"/>
            <w:r w:rsidRPr="00B94D6C">
              <w:rPr>
                <w:rFonts w:ascii="Trebuchet MS" w:eastAsia="Times New Roman" w:hAnsi="Trebuchet MS" w:cs="Times New Roman"/>
                <w:color w:val="0D2731"/>
                <w:sz w:val="18"/>
                <w:szCs w:val="18"/>
                <w:lang w:eastAsia="pt-BR"/>
              </w:rPr>
              <w:t xml:space="preserve"> </w:t>
            </w:r>
            <w:proofErr w:type="spellStart"/>
            <w:r w:rsidRPr="00B94D6C">
              <w:rPr>
                <w:rFonts w:ascii="Trebuchet MS" w:eastAsia="Times New Roman" w:hAnsi="Trebuchet MS" w:cs="Times New Roman"/>
                <w:color w:val="0D2731"/>
                <w:sz w:val="18"/>
                <w:szCs w:val="18"/>
                <w:lang w:eastAsia="pt-BR"/>
              </w:rPr>
              <w:t>Manufa</w:t>
            </w:r>
            <w:proofErr w:type="spellEnd"/>
            <w:r w:rsidRPr="00B94D6C">
              <w:rPr>
                <w:rFonts w:ascii="Trebuchet MS" w:eastAsia="Times New Roman" w:hAnsi="Trebuchet MS" w:cs="Times New Roman"/>
                <w:color w:val="0D2731"/>
                <w:sz w:val="18"/>
                <w:szCs w:val="18"/>
                <w:lang w:eastAsia="pt-BR"/>
              </w:rPr>
              <w:t xml:space="preserve">. </w:t>
            </w:r>
            <w:proofErr w:type="spellStart"/>
            <w:r w:rsidRPr="00B94D6C">
              <w:rPr>
                <w:rFonts w:ascii="Trebuchet MS" w:eastAsia="Times New Roman" w:hAnsi="Trebuchet MS" w:cs="Times New Roman"/>
                <w:color w:val="0D2731"/>
                <w:sz w:val="18"/>
                <w:szCs w:val="18"/>
                <w:lang w:eastAsia="pt-BR"/>
              </w:rPr>
              <w:t>Co</w:t>
            </w:r>
            <w:proofErr w:type="spellEnd"/>
            <w:r w:rsidRPr="00B94D6C">
              <w:rPr>
                <w:rFonts w:ascii="Trebuchet MS" w:eastAsia="Times New Roman" w:hAnsi="Trebuchet MS" w:cs="Times New Roman"/>
                <w:color w:val="0D2731"/>
                <w:sz w:val="18"/>
                <w:szCs w:val="18"/>
                <w:lang w:eastAsia="pt-BR"/>
              </w:rPr>
              <w:t xml:space="preserve">., </w:t>
            </w:r>
            <w:proofErr w:type="spellStart"/>
            <w:r w:rsidRPr="00B94D6C">
              <w:rPr>
                <w:rFonts w:ascii="Trebuchet MS" w:eastAsia="Times New Roman" w:hAnsi="Trebuchet MS" w:cs="Times New Roman"/>
                <w:color w:val="0D2731"/>
                <w:sz w:val="18"/>
                <w:szCs w:val="18"/>
                <w:lang w:eastAsia="pt-BR"/>
              </w:rPr>
              <w:t>Ltd</w:t>
            </w:r>
            <w:proofErr w:type="spellEnd"/>
            <w:r w:rsidRPr="00B94D6C">
              <w:rPr>
                <w:rFonts w:ascii="Trebuchet MS" w:eastAsia="Times New Roman" w:hAnsi="Trebuchet MS" w:cs="Times New Roman"/>
                <w:color w:val="0D2731"/>
                <w:sz w:val="18"/>
                <w:szCs w:val="18"/>
                <w:lang w:eastAsia="pt-BR"/>
              </w:rPr>
              <w:t>.</w:t>
            </w:r>
          </w:p>
        </w:tc>
        <w:tc>
          <w:tcPr>
            <w:tcW w:w="18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94D6C" w:rsidRPr="00B94D6C" w:rsidRDefault="00B94D6C" w:rsidP="00B94D6C">
            <w:pPr>
              <w:spacing w:after="0" w:line="360" w:lineRule="atLeast"/>
              <w:jc w:val="center"/>
              <w:textAlignment w:val="top"/>
              <w:rPr>
                <w:rFonts w:ascii="Trebuchet MS" w:eastAsia="Times New Roman" w:hAnsi="Trebuchet MS" w:cs="Times New Roman"/>
                <w:color w:val="0D2731"/>
                <w:sz w:val="18"/>
                <w:szCs w:val="18"/>
                <w:lang w:eastAsia="pt-BR"/>
              </w:rPr>
            </w:pPr>
            <w:r w:rsidRPr="00B94D6C">
              <w:rPr>
                <w:rFonts w:ascii="Trebuchet MS" w:eastAsia="Times New Roman" w:hAnsi="Trebuchet MS" w:cs="Times New Roman"/>
                <w:color w:val="0D2731"/>
                <w:sz w:val="18"/>
                <w:szCs w:val="18"/>
                <w:lang w:eastAsia="pt-BR"/>
              </w:rPr>
              <w:t>562,70</w:t>
            </w:r>
          </w:p>
        </w:tc>
      </w:tr>
      <w:tr w:rsidR="00B94D6C" w:rsidRPr="00B94D6C" w:rsidTr="00B94D6C">
        <w:tc>
          <w:tcPr>
            <w:tcW w:w="0" w:type="auto"/>
            <w:vMerge/>
            <w:tcBorders>
              <w:top w:val="single" w:sz="6" w:space="0" w:color="6196A5"/>
              <w:left w:val="single" w:sz="6" w:space="0" w:color="6196A5"/>
              <w:bottom w:val="single" w:sz="6" w:space="0" w:color="6196A5"/>
              <w:right w:val="single" w:sz="6" w:space="0" w:color="6196A5"/>
            </w:tcBorders>
            <w:hideMark/>
          </w:tcPr>
          <w:p w:rsidR="00B94D6C" w:rsidRPr="00B94D6C" w:rsidRDefault="00B94D6C" w:rsidP="00B94D6C">
            <w:pPr>
              <w:spacing w:after="0" w:line="240" w:lineRule="auto"/>
              <w:jc w:val="left"/>
              <w:rPr>
                <w:rFonts w:ascii="Trebuchet MS" w:eastAsia="Times New Roman" w:hAnsi="Trebuchet MS" w:cs="Times New Roman"/>
                <w:color w:val="0D2731"/>
                <w:sz w:val="18"/>
                <w:szCs w:val="18"/>
                <w:lang w:eastAsia="pt-BR"/>
              </w:rPr>
            </w:pPr>
          </w:p>
        </w:tc>
        <w:tc>
          <w:tcPr>
            <w:tcW w:w="27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94D6C" w:rsidRPr="00B94D6C" w:rsidRDefault="00B94D6C" w:rsidP="00B94D6C">
            <w:pPr>
              <w:spacing w:after="0" w:line="360" w:lineRule="atLeast"/>
              <w:jc w:val="left"/>
              <w:textAlignment w:val="top"/>
              <w:rPr>
                <w:rFonts w:ascii="Trebuchet MS" w:eastAsia="Times New Roman" w:hAnsi="Trebuchet MS" w:cs="Times New Roman"/>
                <w:color w:val="0D2731"/>
                <w:sz w:val="18"/>
                <w:szCs w:val="18"/>
                <w:lang w:eastAsia="pt-BR"/>
              </w:rPr>
            </w:pPr>
            <w:r w:rsidRPr="00B94D6C">
              <w:rPr>
                <w:rFonts w:ascii="Trebuchet MS" w:eastAsia="Times New Roman" w:hAnsi="Trebuchet MS" w:cs="Times New Roman"/>
                <w:color w:val="0D2731"/>
                <w:sz w:val="18"/>
                <w:szCs w:val="18"/>
                <w:lang w:eastAsia="pt-BR"/>
              </w:rPr>
              <w:t xml:space="preserve">Tianjin </w:t>
            </w:r>
            <w:proofErr w:type="spellStart"/>
            <w:r w:rsidRPr="00B94D6C">
              <w:rPr>
                <w:rFonts w:ascii="Trebuchet MS" w:eastAsia="Times New Roman" w:hAnsi="Trebuchet MS" w:cs="Times New Roman"/>
                <w:color w:val="0D2731"/>
                <w:sz w:val="18"/>
                <w:szCs w:val="18"/>
                <w:lang w:eastAsia="pt-BR"/>
              </w:rPr>
              <w:t>Shengte</w:t>
            </w:r>
            <w:proofErr w:type="spellEnd"/>
            <w:r w:rsidRPr="00B94D6C">
              <w:rPr>
                <w:rFonts w:ascii="Trebuchet MS" w:eastAsia="Times New Roman" w:hAnsi="Trebuchet MS" w:cs="Times New Roman"/>
                <w:color w:val="0D2731"/>
                <w:sz w:val="18"/>
                <w:szCs w:val="18"/>
                <w:lang w:eastAsia="pt-BR"/>
              </w:rPr>
              <w:t xml:space="preserve"> </w:t>
            </w:r>
            <w:proofErr w:type="spellStart"/>
            <w:r w:rsidRPr="00B94D6C">
              <w:rPr>
                <w:rFonts w:ascii="Trebuchet MS" w:eastAsia="Times New Roman" w:hAnsi="Trebuchet MS" w:cs="Times New Roman"/>
                <w:color w:val="0D2731"/>
                <w:sz w:val="18"/>
                <w:szCs w:val="18"/>
                <w:lang w:eastAsia="pt-BR"/>
              </w:rPr>
              <w:t>Prestressed</w:t>
            </w:r>
            <w:proofErr w:type="spellEnd"/>
            <w:r w:rsidRPr="00B94D6C">
              <w:rPr>
                <w:rFonts w:ascii="Trebuchet MS" w:eastAsia="Times New Roman" w:hAnsi="Trebuchet MS" w:cs="Times New Roman"/>
                <w:color w:val="0D2731"/>
                <w:sz w:val="18"/>
                <w:szCs w:val="18"/>
                <w:lang w:eastAsia="pt-BR"/>
              </w:rPr>
              <w:t xml:space="preserve"> Concrete Steel </w:t>
            </w:r>
            <w:proofErr w:type="spellStart"/>
            <w:r w:rsidRPr="00B94D6C">
              <w:rPr>
                <w:rFonts w:ascii="Trebuchet MS" w:eastAsia="Times New Roman" w:hAnsi="Trebuchet MS" w:cs="Times New Roman"/>
                <w:color w:val="0D2731"/>
                <w:sz w:val="18"/>
                <w:szCs w:val="18"/>
                <w:lang w:eastAsia="pt-BR"/>
              </w:rPr>
              <w:t>Strand</w:t>
            </w:r>
            <w:proofErr w:type="spellEnd"/>
            <w:r w:rsidRPr="00B94D6C">
              <w:rPr>
                <w:rFonts w:ascii="Trebuchet MS" w:eastAsia="Times New Roman" w:hAnsi="Trebuchet MS" w:cs="Times New Roman"/>
                <w:color w:val="0D2731"/>
                <w:sz w:val="18"/>
                <w:szCs w:val="18"/>
                <w:lang w:eastAsia="pt-BR"/>
              </w:rPr>
              <w:t xml:space="preserve"> </w:t>
            </w:r>
            <w:proofErr w:type="spellStart"/>
            <w:r w:rsidRPr="00B94D6C">
              <w:rPr>
                <w:rFonts w:ascii="Trebuchet MS" w:eastAsia="Times New Roman" w:hAnsi="Trebuchet MS" w:cs="Times New Roman"/>
                <w:color w:val="0D2731"/>
                <w:sz w:val="18"/>
                <w:szCs w:val="18"/>
                <w:lang w:eastAsia="pt-BR"/>
              </w:rPr>
              <w:t>Co</w:t>
            </w:r>
            <w:proofErr w:type="spellEnd"/>
            <w:r w:rsidRPr="00B94D6C">
              <w:rPr>
                <w:rFonts w:ascii="Trebuchet MS" w:eastAsia="Times New Roman" w:hAnsi="Trebuchet MS" w:cs="Times New Roman"/>
                <w:color w:val="0D2731"/>
                <w:sz w:val="18"/>
                <w:szCs w:val="18"/>
                <w:lang w:eastAsia="pt-BR"/>
              </w:rPr>
              <w:t xml:space="preserve">., </w:t>
            </w:r>
            <w:proofErr w:type="spellStart"/>
            <w:r w:rsidRPr="00B94D6C">
              <w:rPr>
                <w:rFonts w:ascii="Trebuchet MS" w:eastAsia="Times New Roman" w:hAnsi="Trebuchet MS" w:cs="Times New Roman"/>
                <w:color w:val="0D2731"/>
                <w:sz w:val="18"/>
                <w:szCs w:val="18"/>
                <w:lang w:eastAsia="pt-BR"/>
              </w:rPr>
              <w:t>Ltd</w:t>
            </w:r>
            <w:proofErr w:type="spellEnd"/>
            <w:r w:rsidRPr="00B94D6C">
              <w:rPr>
                <w:rFonts w:ascii="Trebuchet MS" w:eastAsia="Times New Roman" w:hAnsi="Trebuchet MS" w:cs="Times New Roman"/>
                <w:color w:val="0D2731"/>
                <w:sz w:val="18"/>
                <w:szCs w:val="18"/>
                <w:lang w:eastAsia="pt-BR"/>
              </w:rPr>
              <w:t>.</w:t>
            </w:r>
          </w:p>
        </w:tc>
        <w:tc>
          <w:tcPr>
            <w:tcW w:w="18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94D6C" w:rsidRPr="00B94D6C" w:rsidRDefault="00B94D6C" w:rsidP="00B94D6C">
            <w:pPr>
              <w:spacing w:after="0" w:line="360" w:lineRule="atLeast"/>
              <w:jc w:val="center"/>
              <w:textAlignment w:val="top"/>
              <w:rPr>
                <w:rFonts w:ascii="Trebuchet MS" w:eastAsia="Times New Roman" w:hAnsi="Trebuchet MS" w:cs="Times New Roman"/>
                <w:color w:val="0D2731"/>
                <w:sz w:val="18"/>
                <w:szCs w:val="18"/>
                <w:lang w:eastAsia="pt-BR"/>
              </w:rPr>
            </w:pPr>
            <w:r w:rsidRPr="00B94D6C">
              <w:rPr>
                <w:rFonts w:ascii="Trebuchet MS" w:eastAsia="Times New Roman" w:hAnsi="Trebuchet MS" w:cs="Times New Roman"/>
                <w:color w:val="0D2731"/>
                <w:sz w:val="18"/>
                <w:szCs w:val="18"/>
                <w:lang w:eastAsia="pt-BR"/>
              </w:rPr>
              <w:t>562,70</w:t>
            </w:r>
          </w:p>
        </w:tc>
      </w:tr>
      <w:tr w:rsidR="00B94D6C" w:rsidRPr="00B94D6C" w:rsidTr="00B94D6C">
        <w:tc>
          <w:tcPr>
            <w:tcW w:w="0" w:type="auto"/>
            <w:vMerge/>
            <w:tcBorders>
              <w:top w:val="single" w:sz="6" w:space="0" w:color="6196A5"/>
              <w:left w:val="single" w:sz="6" w:space="0" w:color="6196A5"/>
              <w:bottom w:val="single" w:sz="6" w:space="0" w:color="6196A5"/>
              <w:right w:val="single" w:sz="6" w:space="0" w:color="6196A5"/>
            </w:tcBorders>
            <w:hideMark/>
          </w:tcPr>
          <w:p w:rsidR="00B94D6C" w:rsidRPr="00B94D6C" w:rsidRDefault="00B94D6C" w:rsidP="00B94D6C">
            <w:pPr>
              <w:spacing w:after="0" w:line="240" w:lineRule="auto"/>
              <w:jc w:val="left"/>
              <w:rPr>
                <w:rFonts w:ascii="Trebuchet MS" w:eastAsia="Times New Roman" w:hAnsi="Trebuchet MS" w:cs="Times New Roman"/>
                <w:color w:val="0D2731"/>
                <w:sz w:val="18"/>
                <w:szCs w:val="18"/>
                <w:lang w:eastAsia="pt-BR"/>
              </w:rPr>
            </w:pPr>
          </w:p>
        </w:tc>
        <w:tc>
          <w:tcPr>
            <w:tcW w:w="27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94D6C" w:rsidRPr="00B94D6C" w:rsidRDefault="00B94D6C" w:rsidP="00B94D6C">
            <w:pPr>
              <w:spacing w:after="0" w:line="360" w:lineRule="atLeast"/>
              <w:jc w:val="left"/>
              <w:textAlignment w:val="top"/>
              <w:rPr>
                <w:rFonts w:ascii="Trebuchet MS" w:eastAsia="Times New Roman" w:hAnsi="Trebuchet MS" w:cs="Times New Roman"/>
                <w:color w:val="0D2731"/>
                <w:sz w:val="18"/>
                <w:szCs w:val="18"/>
                <w:lang w:eastAsia="pt-BR"/>
              </w:rPr>
            </w:pPr>
            <w:r w:rsidRPr="00B94D6C">
              <w:rPr>
                <w:rFonts w:ascii="Trebuchet MS" w:eastAsia="Times New Roman" w:hAnsi="Trebuchet MS" w:cs="Times New Roman"/>
                <w:color w:val="0D2731"/>
                <w:sz w:val="18"/>
                <w:szCs w:val="18"/>
                <w:lang w:eastAsia="pt-BR"/>
              </w:rPr>
              <w:t>Demais</w:t>
            </w:r>
          </w:p>
        </w:tc>
        <w:tc>
          <w:tcPr>
            <w:tcW w:w="1800" w:type="pc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94D6C" w:rsidRPr="00B94D6C" w:rsidRDefault="00B94D6C" w:rsidP="00B94D6C">
            <w:pPr>
              <w:spacing w:after="0" w:line="360" w:lineRule="atLeast"/>
              <w:jc w:val="center"/>
              <w:textAlignment w:val="top"/>
              <w:rPr>
                <w:rFonts w:ascii="Trebuchet MS" w:eastAsia="Times New Roman" w:hAnsi="Trebuchet MS" w:cs="Times New Roman"/>
                <w:color w:val="0D2731"/>
                <w:sz w:val="18"/>
                <w:szCs w:val="18"/>
                <w:lang w:eastAsia="pt-BR"/>
              </w:rPr>
            </w:pPr>
            <w:r w:rsidRPr="00B94D6C">
              <w:rPr>
                <w:rFonts w:ascii="Trebuchet MS" w:eastAsia="Times New Roman" w:hAnsi="Trebuchet MS" w:cs="Times New Roman"/>
                <w:color w:val="0D2731"/>
                <w:sz w:val="18"/>
                <w:szCs w:val="18"/>
                <w:lang w:eastAsia="pt-BR"/>
              </w:rPr>
              <w:t>562,70</w:t>
            </w:r>
          </w:p>
        </w:tc>
      </w:tr>
    </w:tbl>
    <w:p w:rsidR="00B94D6C" w:rsidRPr="00505368" w:rsidRDefault="00B94D6C" w:rsidP="00B94D6C">
      <w:pPr>
        <w:spacing w:after="0" w:line="240" w:lineRule="auto"/>
        <w:textAlignment w:val="top"/>
        <w:rPr>
          <w:rFonts w:eastAsia="Times New Roman" w:cs="Times New Roman"/>
          <w:color w:val="000000"/>
          <w:sz w:val="24"/>
          <w:szCs w:val="24"/>
          <w:lang w:eastAsia="pt-BR"/>
        </w:rPr>
      </w:pPr>
      <w:r w:rsidRPr="00B94D6C">
        <w:rPr>
          <w:rFonts w:ascii="Trebuchet MS" w:eastAsia="Times New Roman" w:hAnsi="Trebuchet MS" w:cs="Times New Roman"/>
          <w:color w:val="000000"/>
          <w:sz w:val="18"/>
          <w:szCs w:val="18"/>
          <w:lang w:eastAsia="pt-BR"/>
        </w:rPr>
        <w:br/>
      </w:r>
      <w:r w:rsidRPr="00505368">
        <w:rPr>
          <w:rFonts w:eastAsia="Times New Roman" w:cs="Times New Roman"/>
          <w:color w:val="000000"/>
          <w:sz w:val="24"/>
          <w:szCs w:val="24"/>
          <w:lang w:eastAsia="pt-BR"/>
        </w:rPr>
        <w:t>Art. 2</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Tornar público o cálculo do direito antidumping provisório aplicado, conforme consta do Anexo.</w:t>
      </w:r>
    </w:p>
    <w:p w:rsidR="00B94D6C" w:rsidRPr="00505368" w:rsidRDefault="00B94D6C" w:rsidP="00B94D6C">
      <w:pPr>
        <w:spacing w:after="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br/>
        <w:t>Art. 3</w:t>
      </w:r>
      <w:r w:rsidRPr="00505368">
        <w:rPr>
          <w:rFonts w:eastAsia="Times New Roman" w:cs="Times New Roman"/>
          <w:strike/>
          <w:color w:val="000000"/>
          <w:sz w:val="24"/>
          <w:szCs w:val="24"/>
          <w:bdr w:val="none" w:sz="0" w:space="0" w:color="auto" w:frame="1"/>
          <w:lang w:eastAsia="pt-BR"/>
        </w:rPr>
        <w:t>º</w:t>
      </w:r>
      <w:r w:rsidRPr="00505368">
        <w:rPr>
          <w:rFonts w:eastAsia="Times New Roman" w:cs="Times New Roman"/>
          <w:color w:val="000000"/>
          <w:sz w:val="24"/>
          <w:szCs w:val="24"/>
          <w:lang w:eastAsia="pt-BR"/>
        </w:rPr>
        <w:t>  Esta Resolução entra em vigor na data de sua publicação.</w:t>
      </w:r>
    </w:p>
    <w:p w:rsidR="00B94D6C" w:rsidRPr="00505368" w:rsidRDefault="00B94D6C" w:rsidP="00B94D6C">
      <w:pPr>
        <w:spacing w:after="0" w:line="240" w:lineRule="auto"/>
        <w:jc w:val="center"/>
        <w:textAlignment w:val="top"/>
        <w:rPr>
          <w:rFonts w:eastAsia="Times New Roman" w:cs="Times New Roman"/>
          <w:color w:val="000000"/>
          <w:sz w:val="24"/>
          <w:szCs w:val="24"/>
          <w:lang w:eastAsia="pt-BR"/>
        </w:rPr>
      </w:pPr>
      <w:r w:rsidRPr="00505368">
        <w:rPr>
          <w:rFonts w:eastAsia="Times New Roman" w:cs="Times New Roman"/>
          <w:b/>
          <w:bCs/>
          <w:color w:val="000000"/>
          <w:sz w:val="24"/>
          <w:szCs w:val="24"/>
          <w:bdr w:val="none" w:sz="0" w:space="0" w:color="auto" w:frame="1"/>
          <w:lang w:eastAsia="pt-BR"/>
        </w:rPr>
        <w:br/>
        <w:t>MARCOS BEZERRA ABBOTT GALVÃO</w:t>
      </w:r>
    </w:p>
    <w:p w:rsidR="00B94D6C" w:rsidRPr="00505368" w:rsidRDefault="00B94D6C" w:rsidP="00B94D6C">
      <w:pPr>
        <w:spacing w:after="0" w:line="240" w:lineRule="auto"/>
        <w:jc w:val="center"/>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 xml:space="preserve">Presidente, interino, do Comitê Executivo de Gestão – </w:t>
      </w:r>
      <w:proofErr w:type="spellStart"/>
      <w:r w:rsidRPr="00505368">
        <w:rPr>
          <w:rFonts w:eastAsia="Times New Roman" w:cs="Times New Roman"/>
          <w:color w:val="000000"/>
          <w:sz w:val="24"/>
          <w:szCs w:val="24"/>
          <w:lang w:eastAsia="pt-BR"/>
        </w:rPr>
        <w:t>Gecex</w:t>
      </w:r>
      <w:proofErr w:type="spellEnd"/>
    </w:p>
    <w:p w:rsidR="00B94D6C" w:rsidRPr="00505368" w:rsidRDefault="00B94D6C" w:rsidP="00B94D6C">
      <w:pPr>
        <w:spacing w:after="0" w:line="240" w:lineRule="auto"/>
        <w:jc w:val="center"/>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 </w:t>
      </w:r>
    </w:p>
    <w:p w:rsidR="00B94D6C" w:rsidRPr="00505368" w:rsidRDefault="00B94D6C" w:rsidP="00B94D6C">
      <w:pPr>
        <w:spacing w:after="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 </w:t>
      </w:r>
    </w:p>
    <w:p w:rsidR="00B94D6C" w:rsidRPr="00505368" w:rsidRDefault="00B94D6C" w:rsidP="00505368">
      <w:pPr>
        <w:spacing w:after="0" w:line="240" w:lineRule="auto"/>
        <w:textAlignment w:val="top"/>
        <w:rPr>
          <w:rFonts w:eastAsia="Times New Roman" w:cs="Times New Roman"/>
          <w:color w:val="000000"/>
          <w:sz w:val="24"/>
          <w:szCs w:val="24"/>
          <w:lang w:eastAsia="pt-BR"/>
        </w:rPr>
      </w:pPr>
      <w:r w:rsidRPr="00505368">
        <w:rPr>
          <w:rFonts w:eastAsia="Times New Roman" w:cs="Times New Roman"/>
          <w:color w:val="000000"/>
          <w:sz w:val="24"/>
          <w:szCs w:val="24"/>
          <w:lang w:eastAsia="pt-BR"/>
        </w:rPr>
        <w:t> </w:t>
      </w:r>
    </w:p>
    <w:p w:rsidR="00B94D6C" w:rsidRPr="00505368" w:rsidRDefault="00B94D6C" w:rsidP="00113BE3">
      <w:pPr>
        <w:shd w:val="clear" w:color="auto" w:fill="FFFFFF"/>
        <w:spacing w:before="150" w:after="150" w:line="240" w:lineRule="auto"/>
        <w:jc w:val="left"/>
        <w:textAlignment w:val="top"/>
        <w:rPr>
          <w:rFonts w:eastAsia="Times New Roman" w:cs="Times New Roman"/>
          <w:color w:val="0D2731"/>
          <w:sz w:val="24"/>
          <w:szCs w:val="24"/>
          <w:lang w:eastAsia="pt-BR"/>
        </w:rPr>
      </w:pPr>
    </w:p>
    <w:p w:rsidR="00113BE3" w:rsidRPr="00505368" w:rsidRDefault="00113BE3" w:rsidP="003E5B89">
      <w:pPr>
        <w:shd w:val="clear" w:color="auto" w:fill="FFFFFF"/>
        <w:spacing w:after="0" w:line="240" w:lineRule="auto"/>
        <w:jc w:val="center"/>
        <w:rPr>
          <w:sz w:val="24"/>
          <w:szCs w:val="24"/>
        </w:rPr>
      </w:pPr>
    </w:p>
    <w:p w:rsidR="006B52EB" w:rsidRPr="00505368" w:rsidRDefault="006B52EB" w:rsidP="003E5B89">
      <w:pPr>
        <w:shd w:val="clear" w:color="auto" w:fill="FFFFFF"/>
        <w:spacing w:after="0" w:line="240" w:lineRule="auto"/>
        <w:jc w:val="center"/>
        <w:rPr>
          <w:sz w:val="24"/>
          <w:szCs w:val="24"/>
        </w:rPr>
      </w:pPr>
    </w:p>
    <w:p w:rsidR="006B52EB" w:rsidRPr="00505368" w:rsidRDefault="006B52EB" w:rsidP="003E5B89">
      <w:pPr>
        <w:shd w:val="clear" w:color="auto" w:fill="FFFFFF"/>
        <w:spacing w:after="0" w:line="240" w:lineRule="auto"/>
        <w:jc w:val="center"/>
        <w:rPr>
          <w:b/>
          <w:sz w:val="24"/>
          <w:szCs w:val="24"/>
        </w:rPr>
      </w:pPr>
    </w:p>
    <w:sectPr w:rsidR="006B52EB" w:rsidRPr="005053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86B"/>
    <w:multiLevelType w:val="multilevel"/>
    <w:tmpl w:val="B93A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E3D20"/>
    <w:multiLevelType w:val="multilevel"/>
    <w:tmpl w:val="7D6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D26EE"/>
    <w:multiLevelType w:val="multilevel"/>
    <w:tmpl w:val="8476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72BF7"/>
    <w:multiLevelType w:val="multilevel"/>
    <w:tmpl w:val="BE3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E34B9"/>
    <w:multiLevelType w:val="multilevel"/>
    <w:tmpl w:val="DC1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55631"/>
    <w:multiLevelType w:val="multilevel"/>
    <w:tmpl w:val="BF5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3695D"/>
    <w:multiLevelType w:val="multilevel"/>
    <w:tmpl w:val="A776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407830"/>
    <w:multiLevelType w:val="multilevel"/>
    <w:tmpl w:val="37AC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30D8A"/>
    <w:multiLevelType w:val="multilevel"/>
    <w:tmpl w:val="43DE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E7F46"/>
    <w:multiLevelType w:val="multilevel"/>
    <w:tmpl w:val="FC0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DF2660"/>
    <w:multiLevelType w:val="multilevel"/>
    <w:tmpl w:val="C5388C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6F4047"/>
    <w:multiLevelType w:val="multilevel"/>
    <w:tmpl w:val="3E745B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BE20A6"/>
    <w:multiLevelType w:val="multilevel"/>
    <w:tmpl w:val="9178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A5E72"/>
    <w:multiLevelType w:val="multilevel"/>
    <w:tmpl w:val="F20A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D40BB"/>
    <w:multiLevelType w:val="multilevel"/>
    <w:tmpl w:val="0BFE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C80053"/>
    <w:multiLevelType w:val="multilevel"/>
    <w:tmpl w:val="3F9E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A6572D"/>
    <w:multiLevelType w:val="multilevel"/>
    <w:tmpl w:val="3E92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F83D14"/>
    <w:multiLevelType w:val="multilevel"/>
    <w:tmpl w:val="F64E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7528FB"/>
    <w:multiLevelType w:val="multilevel"/>
    <w:tmpl w:val="B0B0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767978"/>
    <w:multiLevelType w:val="multilevel"/>
    <w:tmpl w:val="8E1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84BA2"/>
    <w:multiLevelType w:val="multilevel"/>
    <w:tmpl w:val="B56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CA74A9"/>
    <w:multiLevelType w:val="multilevel"/>
    <w:tmpl w:val="B6A2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D01EDB"/>
    <w:multiLevelType w:val="hybridMultilevel"/>
    <w:tmpl w:val="D81C37EE"/>
    <w:lvl w:ilvl="0" w:tplc="9DB0EC6E">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1C7028"/>
    <w:multiLevelType w:val="multilevel"/>
    <w:tmpl w:val="E31E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D81CFA"/>
    <w:multiLevelType w:val="multilevel"/>
    <w:tmpl w:val="9102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2E032B"/>
    <w:multiLevelType w:val="multilevel"/>
    <w:tmpl w:val="63E8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51698"/>
    <w:multiLevelType w:val="multilevel"/>
    <w:tmpl w:val="DAD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B4172"/>
    <w:multiLevelType w:val="multilevel"/>
    <w:tmpl w:val="D4F4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3F2EC0"/>
    <w:multiLevelType w:val="multilevel"/>
    <w:tmpl w:val="531E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A0997"/>
    <w:multiLevelType w:val="multilevel"/>
    <w:tmpl w:val="4148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141E24"/>
    <w:multiLevelType w:val="multilevel"/>
    <w:tmpl w:val="F27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7B5299"/>
    <w:multiLevelType w:val="multilevel"/>
    <w:tmpl w:val="FE4A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58297E"/>
    <w:multiLevelType w:val="multilevel"/>
    <w:tmpl w:val="DD2E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A43880"/>
    <w:multiLevelType w:val="multilevel"/>
    <w:tmpl w:val="6902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AA419F"/>
    <w:multiLevelType w:val="multilevel"/>
    <w:tmpl w:val="61B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BE3D81"/>
    <w:multiLevelType w:val="multilevel"/>
    <w:tmpl w:val="87F0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5958BB"/>
    <w:multiLevelType w:val="multilevel"/>
    <w:tmpl w:val="A2763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69265D"/>
    <w:multiLevelType w:val="multilevel"/>
    <w:tmpl w:val="E76CB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DD97AF6"/>
    <w:multiLevelType w:val="multilevel"/>
    <w:tmpl w:val="E396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FC2F15"/>
    <w:multiLevelType w:val="multilevel"/>
    <w:tmpl w:val="0B46D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5D0992"/>
    <w:multiLevelType w:val="hybridMultilevel"/>
    <w:tmpl w:val="A5DC889C"/>
    <w:lvl w:ilvl="0" w:tplc="4E52069A">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C20100"/>
    <w:multiLevelType w:val="multilevel"/>
    <w:tmpl w:val="0C36C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951745"/>
    <w:multiLevelType w:val="multilevel"/>
    <w:tmpl w:val="C6B2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BA2A1D"/>
    <w:multiLevelType w:val="multilevel"/>
    <w:tmpl w:val="A8FA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3679B1"/>
    <w:multiLevelType w:val="multilevel"/>
    <w:tmpl w:val="76B0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913E64"/>
    <w:multiLevelType w:val="multilevel"/>
    <w:tmpl w:val="95DA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34267B"/>
    <w:multiLevelType w:val="multilevel"/>
    <w:tmpl w:val="CADE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637541"/>
    <w:multiLevelType w:val="hybridMultilevel"/>
    <w:tmpl w:val="A74C7B86"/>
    <w:lvl w:ilvl="0" w:tplc="1C541F22">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FB606E"/>
    <w:multiLevelType w:val="multilevel"/>
    <w:tmpl w:val="6106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FE5634"/>
    <w:multiLevelType w:val="multilevel"/>
    <w:tmpl w:val="959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7"/>
  </w:num>
  <w:num w:numId="3">
    <w:abstractNumId w:val="37"/>
  </w:num>
  <w:num w:numId="4">
    <w:abstractNumId w:val="10"/>
  </w:num>
  <w:num w:numId="5">
    <w:abstractNumId w:val="11"/>
  </w:num>
  <w:num w:numId="6">
    <w:abstractNumId w:val="1"/>
  </w:num>
  <w:num w:numId="7">
    <w:abstractNumId w:val="41"/>
  </w:num>
  <w:num w:numId="8">
    <w:abstractNumId w:val="38"/>
  </w:num>
  <w:num w:numId="9">
    <w:abstractNumId w:val="24"/>
  </w:num>
  <w:num w:numId="10">
    <w:abstractNumId w:val="17"/>
  </w:num>
  <w:num w:numId="11">
    <w:abstractNumId w:val="8"/>
  </w:num>
  <w:num w:numId="12">
    <w:abstractNumId w:val="45"/>
  </w:num>
  <w:num w:numId="13">
    <w:abstractNumId w:val="22"/>
  </w:num>
  <w:num w:numId="14">
    <w:abstractNumId w:val="43"/>
  </w:num>
  <w:num w:numId="15">
    <w:abstractNumId w:val="20"/>
  </w:num>
  <w:num w:numId="16">
    <w:abstractNumId w:val="31"/>
  </w:num>
  <w:num w:numId="17">
    <w:abstractNumId w:val="16"/>
  </w:num>
  <w:num w:numId="18">
    <w:abstractNumId w:val="42"/>
  </w:num>
  <w:num w:numId="19">
    <w:abstractNumId w:val="9"/>
  </w:num>
  <w:num w:numId="20">
    <w:abstractNumId w:val="27"/>
  </w:num>
  <w:num w:numId="21">
    <w:abstractNumId w:val="32"/>
  </w:num>
  <w:num w:numId="22">
    <w:abstractNumId w:val="4"/>
  </w:num>
  <w:num w:numId="23">
    <w:abstractNumId w:val="3"/>
  </w:num>
  <w:num w:numId="24">
    <w:abstractNumId w:val="23"/>
  </w:num>
  <w:num w:numId="25">
    <w:abstractNumId w:val="33"/>
  </w:num>
  <w:num w:numId="26">
    <w:abstractNumId w:val="29"/>
  </w:num>
  <w:num w:numId="27">
    <w:abstractNumId w:val="39"/>
  </w:num>
  <w:num w:numId="28">
    <w:abstractNumId w:val="25"/>
  </w:num>
  <w:num w:numId="29">
    <w:abstractNumId w:val="35"/>
  </w:num>
  <w:num w:numId="30">
    <w:abstractNumId w:val="14"/>
  </w:num>
  <w:num w:numId="31">
    <w:abstractNumId w:val="26"/>
  </w:num>
  <w:num w:numId="32">
    <w:abstractNumId w:val="48"/>
  </w:num>
  <w:num w:numId="33">
    <w:abstractNumId w:val="7"/>
  </w:num>
  <w:num w:numId="34">
    <w:abstractNumId w:val="13"/>
  </w:num>
  <w:num w:numId="35">
    <w:abstractNumId w:val="36"/>
  </w:num>
  <w:num w:numId="36">
    <w:abstractNumId w:val="15"/>
  </w:num>
  <w:num w:numId="37">
    <w:abstractNumId w:val="28"/>
  </w:num>
  <w:num w:numId="38">
    <w:abstractNumId w:val="18"/>
  </w:num>
  <w:num w:numId="39">
    <w:abstractNumId w:val="30"/>
  </w:num>
  <w:num w:numId="40">
    <w:abstractNumId w:val="12"/>
  </w:num>
  <w:num w:numId="41">
    <w:abstractNumId w:val="6"/>
  </w:num>
  <w:num w:numId="42">
    <w:abstractNumId w:val="0"/>
  </w:num>
  <w:num w:numId="43">
    <w:abstractNumId w:val="21"/>
  </w:num>
  <w:num w:numId="44">
    <w:abstractNumId w:val="19"/>
  </w:num>
  <w:num w:numId="45">
    <w:abstractNumId w:val="49"/>
  </w:num>
  <w:num w:numId="46">
    <w:abstractNumId w:val="44"/>
  </w:num>
  <w:num w:numId="47">
    <w:abstractNumId w:val="34"/>
  </w:num>
  <w:num w:numId="48">
    <w:abstractNumId w:val="46"/>
  </w:num>
  <w:num w:numId="49">
    <w:abstractNumId w:val="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E81"/>
    <w:rsid w:val="000020A9"/>
    <w:rsid w:val="00005D98"/>
    <w:rsid w:val="000103FE"/>
    <w:rsid w:val="000124D2"/>
    <w:rsid w:val="00013597"/>
    <w:rsid w:val="0001444B"/>
    <w:rsid w:val="000152CE"/>
    <w:rsid w:val="000177F2"/>
    <w:rsid w:val="00020ED5"/>
    <w:rsid w:val="000219E4"/>
    <w:rsid w:val="00027CB8"/>
    <w:rsid w:val="00031B67"/>
    <w:rsid w:val="00031F78"/>
    <w:rsid w:val="00033473"/>
    <w:rsid w:val="0004661E"/>
    <w:rsid w:val="00047189"/>
    <w:rsid w:val="00047724"/>
    <w:rsid w:val="00056318"/>
    <w:rsid w:val="00057189"/>
    <w:rsid w:val="00065F14"/>
    <w:rsid w:val="00071655"/>
    <w:rsid w:val="00071B36"/>
    <w:rsid w:val="00072BFC"/>
    <w:rsid w:val="00076DE3"/>
    <w:rsid w:val="00076ED1"/>
    <w:rsid w:val="000806B2"/>
    <w:rsid w:val="00081BE7"/>
    <w:rsid w:val="0008413E"/>
    <w:rsid w:val="00085A7F"/>
    <w:rsid w:val="000A224D"/>
    <w:rsid w:val="000A38E1"/>
    <w:rsid w:val="000A5B27"/>
    <w:rsid w:val="000A6A49"/>
    <w:rsid w:val="000A6EBC"/>
    <w:rsid w:val="000B1648"/>
    <w:rsid w:val="000B1AFE"/>
    <w:rsid w:val="000B4817"/>
    <w:rsid w:val="000B5E7B"/>
    <w:rsid w:val="000B6136"/>
    <w:rsid w:val="000B6B0F"/>
    <w:rsid w:val="000C2091"/>
    <w:rsid w:val="000C5696"/>
    <w:rsid w:val="000C6612"/>
    <w:rsid w:val="000C7EED"/>
    <w:rsid w:val="000D06EB"/>
    <w:rsid w:val="000D248E"/>
    <w:rsid w:val="000D2D3A"/>
    <w:rsid w:val="000D3238"/>
    <w:rsid w:val="000D580C"/>
    <w:rsid w:val="000D5C96"/>
    <w:rsid w:val="000D6E29"/>
    <w:rsid w:val="000E6F34"/>
    <w:rsid w:val="000E7D36"/>
    <w:rsid w:val="000F0965"/>
    <w:rsid w:val="000F2658"/>
    <w:rsid w:val="000F535C"/>
    <w:rsid w:val="000F67A9"/>
    <w:rsid w:val="00100509"/>
    <w:rsid w:val="00106C97"/>
    <w:rsid w:val="0011063E"/>
    <w:rsid w:val="00110FAB"/>
    <w:rsid w:val="001113E7"/>
    <w:rsid w:val="00113855"/>
    <w:rsid w:val="00113BE3"/>
    <w:rsid w:val="0012579F"/>
    <w:rsid w:val="00126A2E"/>
    <w:rsid w:val="00131C55"/>
    <w:rsid w:val="0013345C"/>
    <w:rsid w:val="001417D4"/>
    <w:rsid w:val="001417E8"/>
    <w:rsid w:val="001448FB"/>
    <w:rsid w:val="00146FB0"/>
    <w:rsid w:val="00147F00"/>
    <w:rsid w:val="00151695"/>
    <w:rsid w:val="0015182A"/>
    <w:rsid w:val="001538F5"/>
    <w:rsid w:val="001548C9"/>
    <w:rsid w:val="00156558"/>
    <w:rsid w:val="001606CE"/>
    <w:rsid w:val="00162FB0"/>
    <w:rsid w:val="00166754"/>
    <w:rsid w:val="00166A9D"/>
    <w:rsid w:val="0017381C"/>
    <w:rsid w:val="001801D4"/>
    <w:rsid w:val="00180D88"/>
    <w:rsid w:val="001821A9"/>
    <w:rsid w:val="00186E52"/>
    <w:rsid w:val="001944D7"/>
    <w:rsid w:val="001949E8"/>
    <w:rsid w:val="0019614F"/>
    <w:rsid w:val="001A1358"/>
    <w:rsid w:val="001A173D"/>
    <w:rsid w:val="001A23F9"/>
    <w:rsid w:val="001A3F27"/>
    <w:rsid w:val="001A78E0"/>
    <w:rsid w:val="001A7D8A"/>
    <w:rsid w:val="001C5DFB"/>
    <w:rsid w:val="001E12B3"/>
    <w:rsid w:val="001E2A8A"/>
    <w:rsid w:val="001E2A98"/>
    <w:rsid w:val="001E6DEA"/>
    <w:rsid w:val="001F301B"/>
    <w:rsid w:val="001F5166"/>
    <w:rsid w:val="001F55A3"/>
    <w:rsid w:val="001F78CE"/>
    <w:rsid w:val="00200B20"/>
    <w:rsid w:val="002049F8"/>
    <w:rsid w:val="00207745"/>
    <w:rsid w:val="00216DD3"/>
    <w:rsid w:val="00223F40"/>
    <w:rsid w:val="00232B30"/>
    <w:rsid w:val="00240850"/>
    <w:rsid w:val="002415C3"/>
    <w:rsid w:val="00242534"/>
    <w:rsid w:val="00243A08"/>
    <w:rsid w:val="00243B62"/>
    <w:rsid w:val="002531B3"/>
    <w:rsid w:val="002547C9"/>
    <w:rsid w:val="0025498D"/>
    <w:rsid w:val="00255598"/>
    <w:rsid w:val="0025713F"/>
    <w:rsid w:val="0025786A"/>
    <w:rsid w:val="00262812"/>
    <w:rsid w:val="00264007"/>
    <w:rsid w:val="002642DA"/>
    <w:rsid w:val="00264449"/>
    <w:rsid w:val="0026563C"/>
    <w:rsid w:val="00266605"/>
    <w:rsid w:val="0027465C"/>
    <w:rsid w:val="00281BC9"/>
    <w:rsid w:val="0028285B"/>
    <w:rsid w:val="00291EE6"/>
    <w:rsid w:val="00293FE3"/>
    <w:rsid w:val="0029546B"/>
    <w:rsid w:val="002979EA"/>
    <w:rsid w:val="002A2D42"/>
    <w:rsid w:val="002A3C53"/>
    <w:rsid w:val="002A5313"/>
    <w:rsid w:val="002A7876"/>
    <w:rsid w:val="002B0C95"/>
    <w:rsid w:val="002B2B84"/>
    <w:rsid w:val="002B2E35"/>
    <w:rsid w:val="002B4AEB"/>
    <w:rsid w:val="002B4FCB"/>
    <w:rsid w:val="002C2342"/>
    <w:rsid w:val="002C36C8"/>
    <w:rsid w:val="002C50A9"/>
    <w:rsid w:val="002D1078"/>
    <w:rsid w:val="002D3913"/>
    <w:rsid w:val="002D5F13"/>
    <w:rsid w:val="002D64FD"/>
    <w:rsid w:val="002D70A2"/>
    <w:rsid w:val="002E5E81"/>
    <w:rsid w:val="002E7552"/>
    <w:rsid w:val="002F2554"/>
    <w:rsid w:val="002F34E6"/>
    <w:rsid w:val="002F4D92"/>
    <w:rsid w:val="002F67A4"/>
    <w:rsid w:val="00305B60"/>
    <w:rsid w:val="00306C49"/>
    <w:rsid w:val="00317011"/>
    <w:rsid w:val="003203F3"/>
    <w:rsid w:val="00320818"/>
    <w:rsid w:val="00321869"/>
    <w:rsid w:val="00323721"/>
    <w:rsid w:val="00323872"/>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1D3"/>
    <w:rsid w:val="00397BA9"/>
    <w:rsid w:val="003A169C"/>
    <w:rsid w:val="003A51B9"/>
    <w:rsid w:val="003B7EC7"/>
    <w:rsid w:val="003C0205"/>
    <w:rsid w:val="003C0280"/>
    <w:rsid w:val="003C0A59"/>
    <w:rsid w:val="003C2BBC"/>
    <w:rsid w:val="003C4B9A"/>
    <w:rsid w:val="003C5946"/>
    <w:rsid w:val="003C7102"/>
    <w:rsid w:val="003C7813"/>
    <w:rsid w:val="003D07E9"/>
    <w:rsid w:val="003D0A3F"/>
    <w:rsid w:val="003D1190"/>
    <w:rsid w:val="003D5CCF"/>
    <w:rsid w:val="003D5F17"/>
    <w:rsid w:val="003D6500"/>
    <w:rsid w:val="003E17DF"/>
    <w:rsid w:val="003E208D"/>
    <w:rsid w:val="003E3229"/>
    <w:rsid w:val="003E5B89"/>
    <w:rsid w:val="003F084C"/>
    <w:rsid w:val="003F0EE0"/>
    <w:rsid w:val="003F193B"/>
    <w:rsid w:val="003F30BD"/>
    <w:rsid w:val="003F65B7"/>
    <w:rsid w:val="00403429"/>
    <w:rsid w:val="0040385C"/>
    <w:rsid w:val="0040484E"/>
    <w:rsid w:val="004051C2"/>
    <w:rsid w:val="0041767B"/>
    <w:rsid w:val="00421845"/>
    <w:rsid w:val="00421BAD"/>
    <w:rsid w:val="00421E49"/>
    <w:rsid w:val="0043403A"/>
    <w:rsid w:val="00434255"/>
    <w:rsid w:val="004346EB"/>
    <w:rsid w:val="00436224"/>
    <w:rsid w:val="004441DE"/>
    <w:rsid w:val="0044460A"/>
    <w:rsid w:val="00453102"/>
    <w:rsid w:val="00454D13"/>
    <w:rsid w:val="00455334"/>
    <w:rsid w:val="00455761"/>
    <w:rsid w:val="0045608A"/>
    <w:rsid w:val="004624F0"/>
    <w:rsid w:val="00464FC7"/>
    <w:rsid w:val="00467749"/>
    <w:rsid w:val="00471684"/>
    <w:rsid w:val="00474201"/>
    <w:rsid w:val="00474AFF"/>
    <w:rsid w:val="00474E29"/>
    <w:rsid w:val="004811E8"/>
    <w:rsid w:val="00481947"/>
    <w:rsid w:val="00486905"/>
    <w:rsid w:val="00491E03"/>
    <w:rsid w:val="00494FAF"/>
    <w:rsid w:val="00495E46"/>
    <w:rsid w:val="004A0027"/>
    <w:rsid w:val="004A013B"/>
    <w:rsid w:val="004A0E05"/>
    <w:rsid w:val="004A1DC3"/>
    <w:rsid w:val="004A2B45"/>
    <w:rsid w:val="004A31A9"/>
    <w:rsid w:val="004A3D47"/>
    <w:rsid w:val="004A7EDC"/>
    <w:rsid w:val="004B01FE"/>
    <w:rsid w:val="004B142C"/>
    <w:rsid w:val="004B251B"/>
    <w:rsid w:val="004B27CA"/>
    <w:rsid w:val="004B3A8D"/>
    <w:rsid w:val="004C0DF8"/>
    <w:rsid w:val="004D04C5"/>
    <w:rsid w:val="004D0B92"/>
    <w:rsid w:val="004D3E59"/>
    <w:rsid w:val="004D4A0D"/>
    <w:rsid w:val="004D6BB6"/>
    <w:rsid w:val="004E0459"/>
    <w:rsid w:val="004E071C"/>
    <w:rsid w:val="004E3F6E"/>
    <w:rsid w:val="004E4B02"/>
    <w:rsid w:val="004E697B"/>
    <w:rsid w:val="004E7D61"/>
    <w:rsid w:val="004F2ECC"/>
    <w:rsid w:val="004F42B6"/>
    <w:rsid w:val="004F46AF"/>
    <w:rsid w:val="004F4CA9"/>
    <w:rsid w:val="004F5990"/>
    <w:rsid w:val="00501D8C"/>
    <w:rsid w:val="00502260"/>
    <w:rsid w:val="00505368"/>
    <w:rsid w:val="0050541C"/>
    <w:rsid w:val="005059C9"/>
    <w:rsid w:val="005063EC"/>
    <w:rsid w:val="00507503"/>
    <w:rsid w:val="00507E08"/>
    <w:rsid w:val="00510C20"/>
    <w:rsid w:val="00512A34"/>
    <w:rsid w:val="005140CB"/>
    <w:rsid w:val="0051415D"/>
    <w:rsid w:val="005154CE"/>
    <w:rsid w:val="005166DB"/>
    <w:rsid w:val="00520EB7"/>
    <w:rsid w:val="00525788"/>
    <w:rsid w:val="00525E38"/>
    <w:rsid w:val="005308C9"/>
    <w:rsid w:val="005315D0"/>
    <w:rsid w:val="0053164A"/>
    <w:rsid w:val="00531FD9"/>
    <w:rsid w:val="00537663"/>
    <w:rsid w:val="005403EF"/>
    <w:rsid w:val="0054102B"/>
    <w:rsid w:val="00541682"/>
    <w:rsid w:val="0054788C"/>
    <w:rsid w:val="00551AB5"/>
    <w:rsid w:val="00553D56"/>
    <w:rsid w:val="005612DA"/>
    <w:rsid w:val="005638A7"/>
    <w:rsid w:val="0056654A"/>
    <w:rsid w:val="0056788C"/>
    <w:rsid w:val="00571329"/>
    <w:rsid w:val="00581A15"/>
    <w:rsid w:val="00592241"/>
    <w:rsid w:val="0059441E"/>
    <w:rsid w:val="0059649D"/>
    <w:rsid w:val="005968CE"/>
    <w:rsid w:val="005A772F"/>
    <w:rsid w:val="005B01B3"/>
    <w:rsid w:val="005B35C3"/>
    <w:rsid w:val="005B649C"/>
    <w:rsid w:val="005B746A"/>
    <w:rsid w:val="005B7E1F"/>
    <w:rsid w:val="005C06F0"/>
    <w:rsid w:val="005C2921"/>
    <w:rsid w:val="005D036E"/>
    <w:rsid w:val="005D3509"/>
    <w:rsid w:val="005D49D7"/>
    <w:rsid w:val="005D55A5"/>
    <w:rsid w:val="005E132A"/>
    <w:rsid w:val="005E28BC"/>
    <w:rsid w:val="005E3C8A"/>
    <w:rsid w:val="005F5B33"/>
    <w:rsid w:val="0060225E"/>
    <w:rsid w:val="006026C9"/>
    <w:rsid w:val="00604FF1"/>
    <w:rsid w:val="0060544E"/>
    <w:rsid w:val="0061153A"/>
    <w:rsid w:val="00611757"/>
    <w:rsid w:val="00615328"/>
    <w:rsid w:val="006300C4"/>
    <w:rsid w:val="006301C1"/>
    <w:rsid w:val="0063156C"/>
    <w:rsid w:val="0063329C"/>
    <w:rsid w:val="006453FF"/>
    <w:rsid w:val="0064555B"/>
    <w:rsid w:val="00651292"/>
    <w:rsid w:val="006537B1"/>
    <w:rsid w:val="00653EC3"/>
    <w:rsid w:val="00654006"/>
    <w:rsid w:val="00654A76"/>
    <w:rsid w:val="00655CFF"/>
    <w:rsid w:val="0066045D"/>
    <w:rsid w:val="006626B5"/>
    <w:rsid w:val="00664B86"/>
    <w:rsid w:val="006663D7"/>
    <w:rsid w:val="006666B9"/>
    <w:rsid w:val="00672120"/>
    <w:rsid w:val="00672DC2"/>
    <w:rsid w:val="0068065E"/>
    <w:rsid w:val="00680E87"/>
    <w:rsid w:val="00682422"/>
    <w:rsid w:val="0068278C"/>
    <w:rsid w:val="006921F9"/>
    <w:rsid w:val="006958BE"/>
    <w:rsid w:val="006B3284"/>
    <w:rsid w:val="006B52EB"/>
    <w:rsid w:val="006C2009"/>
    <w:rsid w:val="006C51FA"/>
    <w:rsid w:val="006D0D23"/>
    <w:rsid w:val="006D12D6"/>
    <w:rsid w:val="006E4654"/>
    <w:rsid w:val="006E68D3"/>
    <w:rsid w:val="006F0651"/>
    <w:rsid w:val="006F20D4"/>
    <w:rsid w:val="006F6FDA"/>
    <w:rsid w:val="00701DCB"/>
    <w:rsid w:val="007028CF"/>
    <w:rsid w:val="007048CA"/>
    <w:rsid w:val="00712182"/>
    <w:rsid w:val="00712B04"/>
    <w:rsid w:val="00712BAB"/>
    <w:rsid w:val="00713155"/>
    <w:rsid w:val="007149D6"/>
    <w:rsid w:val="0071541F"/>
    <w:rsid w:val="007163B9"/>
    <w:rsid w:val="00720D64"/>
    <w:rsid w:val="007213D1"/>
    <w:rsid w:val="007305CF"/>
    <w:rsid w:val="00734CCD"/>
    <w:rsid w:val="00740A15"/>
    <w:rsid w:val="00743DB5"/>
    <w:rsid w:val="00745119"/>
    <w:rsid w:val="00747358"/>
    <w:rsid w:val="007479C9"/>
    <w:rsid w:val="00750681"/>
    <w:rsid w:val="00750ECD"/>
    <w:rsid w:val="0075186D"/>
    <w:rsid w:val="007542D6"/>
    <w:rsid w:val="007549A9"/>
    <w:rsid w:val="00760FE4"/>
    <w:rsid w:val="00761429"/>
    <w:rsid w:val="00766DA2"/>
    <w:rsid w:val="007700E0"/>
    <w:rsid w:val="00772694"/>
    <w:rsid w:val="00773335"/>
    <w:rsid w:val="00775038"/>
    <w:rsid w:val="00780DFB"/>
    <w:rsid w:val="00781DDD"/>
    <w:rsid w:val="00782B20"/>
    <w:rsid w:val="00783860"/>
    <w:rsid w:val="00786ABA"/>
    <w:rsid w:val="00795BBE"/>
    <w:rsid w:val="00797160"/>
    <w:rsid w:val="007A1477"/>
    <w:rsid w:val="007A29B5"/>
    <w:rsid w:val="007A3388"/>
    <w:rsid w:val="007B07F9"/>
    <w:rsid w:val="007B34B7"/>
    <w:rsid w:val="007B6AEA"/>
    <w:rsid w:val="007B6FB4"/>
    <w:rsid w:val="007C08B8"/>
    <w:rsid w:val="007C43BE"/>
    <w:rsid w:val="007C455F"/>
    <w:rsid w:val="007C46AC"/>
    <w:rsid w:val="007C4E8B"/>
    <w:rsid w:val="007D12CC"/>
    <w:rsid w:val="007D2338"/>
    <w:rsid w:val="007D2B08"/>
    <w:rsid w:val="007E1324"/>
    <w:rsid w:val="007E584C"/>
    <w:rsid w:val="007F05D3"/>
    <w:rsid w:val="007F4681"/>
    <w:rsid w:val="007F7055"/>
    <w:rsid w:val="008015E9"/>
    <w:rsid w:val="00805358"/>
    <w:rsid w:val="0080586D"/>
    <w:rsid w:val="00805FB7"/>
    <w:rsid w:val="00810FCE"/>
    <w:rsid w:val="00815746"/>
    <w:rsid w:val="00827088"/>
    <w:rsid w:val="00830E7D"/>
    <w:rsid w:val="00836FA0"/>
    <w:rsid w:val="00840BE7"/>
    <w:rsid w:val="00842098"/>
    <w:rsid w:val="0084307B"/>
    <w:rsid w:val="00843BE0"/>
    <w:rsid w:val="008460BE"/>
    <w:rsid w:val="00846878"/>
    <w:rsid w:val="0084758A"/>
    <w:rsid w:val="00851818"/>
    <w:rsid w:val="00852F07"/>
    <w:rsid w:val="008552CC"/>
    <w:rsid w:val="0086288A"/>
    <w:rsid w:val="00864474"/>
    <w:rsid w:val="008651E0"/>
    <w:rsid w:val="008673C1"/>
    <w:rsid w:val="00867D56"/>
    <w:rsid w:val="00870838"/>
    <w:rsid w:val="00871EDD"/>
    <w:rsid w:val="008814E1"/>
    <w:rsid w:val="00881F1C"/>
    <w:rsid w:val="008947D9"/>
    <w:rsid w:val="008955E8"/>
    <w:rsid w:val="00895FB8"/>
    <w:rsid w:val="008960BC"/>
    <w:rsid w:val="008A0D88"/>
    <w:rsid w:val="008A14BB"/>
    <w:rsid w:val="008A1524"/>
    <w:rsid w:val="008A2309"/>
    <w:rsid w:val="008B4DD8"/>
    <w:rsid w:val="008B7441"/>
    <w:rsid w:val="008C178D"/>
    <w:rsid w:val="008C32C5"/>
    <w:rsid w:val="008C50E1"/>
    <w:rsid w:val="008D1098"/>
    <w:rsid w:val="008D65C6"/>
    <w:rsid w:val="008E01E5"/>
    <w:rsid w:val="008E468C"/>
    <w:rsid w:val="008F0866"/>
    <w:rsid w:val="008F0A72"/>
    <w:rsid w:val="008F1D42"/>
    <w:rsid w:val="008F4011"/>
    <w:rsid w:val="008F796D"/>
    <w:rsid w:val="009001B6"/>
    <w:rsid w:val="0090356F"/>
    <w:rsid w:val="0090687E"/>
    <w:rsid w:val="00911F91"/>
    <w:rsid w:val="00914DA4"/>
    <w:rsid w:val="009172AE"/>
    <w:rsid w:val="00921067"/>
    <w:rsid w:val="00926CB3"/>
    <w:rsid w:val="00935B3E"/>
    <w:rsid w:val="00940AC7"/>
    <w:rsid w:val="009457CF"/>
    <w:rsid w:val="009462E2"/>
    <w:rsid w:val="00946C75"/>
    <w:rsid w:val="00947D09"/>
    <w:rsid w:val="009502E3"/>
    <w:rsid w:val="00952EB9"/>
    <w:rsid w:val="009569AA"/>
    <w:rsid w:val="009573B2"/>
    <w:rsid w:val="0096434A"/>
    <w:rsid w:val="00973147"/>
    <w:rsid w:val="00975238"/>
    <w:rsid w:val="009871BA"/>
    <w:rsid w:val="00992CE5"/>
    <w:rsid w:val="00995005"/>
    <w:rsid w:val="00995F60"/>
    <w:rsid w:val="009A1B37"/>
    <w:rsid w:val="009A3A14"/>
    <w:rsid w:val="009A5EFA"/>
    <w:rsid w:val="009A6109"/>
    <w:rsid w:val="009A630B"/>
    <w:rsid w:val="009A736C"/>
    <w:rsid w:val="009A77C9"/>
    <w:rsid w:val="009B07E9"/>
    <w:rsid w:val="009B3DCB"/>
    <w:rsid w:val="009B404A"/>
    <w:rsid w:val="009C176F"/>
    <w:rsid w:val="009C1FE1"/>
    <w:rsid w:val="009C74C1"/>
    <w:rsid w:val="009D028B"/>
    <w:rsid w:val="009D286B"/>
    <w:rsid w:val="009D52E3"/>
    <w:rsid w:val="009E1A65"/>
    <w:rsid w:val="009E7382"/>
    <w:rsid w:val="009F1724"/>
    <w:rsid w:val="009F721D"/>
    <w:rsid w:val="00A00727"/>
    <w:rsid w:val="00A01BA0"/>
    <w:rsid w:val="00A076EE"/>
    <w:rsid w:val="00A1410A"/>
    <w:rsid w:val="00A14CA3"/>
    <w:rsid w:val="00A16570"/>
    <w:rsid w:val="00A16E28"/>
    <w:rsid w:val="00A172E8"/>
    <w:rsid w:val="00A1746A"/>
    <w:rsid w:val="00A22802"/>
    <w:rsid w:val="00A240E8"/>
    <w:rsid w:val="00A30765"/>
    <w:rsid w:val="00A31B60"/>
    <w:rsid w:val="00A3344E"/>
    <w:rsid w:val="00A40EC7"/>
    <w:rsid w:val="00A43B0B"/>
    <w:rsid w:val="00A46B20"/>
    <w:rsid w:val="00A506B4"/>
    <w:rsid w:val="00A51C54"/>
    <w:rsid w:val="00A52707"/>
    <w:rsid w:val="00A53C10"/>
    <w:rsid w:val="00A56F02"/>
    <w:rsid w:val="00A64D7D"/>
    <w:rsid w:val="00A70240"/>
    <w:rsid w:val="00A70F30"/>
    <w:rsid w:val="00A72E52"/>
    <w:rsid w:val="00A72ECE"/>
    <w:rsid w:val="00A756FD"/>
    <w:rsid w:val="00A806BA"/>
    <w:rsid w:val="00A84831"/>
    <w:rsid w:val="00A910AD"/>
    <w:rsid w:val="00A92A2F"/>
    <w:rsid w:val="00A939C0"/>
    <w:rsid w:val="00A93AA3"/>
    <w:rsid w:val="00A94A58"/>
    <w:rsid w:val="00A963A4"/>
    <w:rsid w:val="00AA1806"/>
    <w:rsid w:val="00AA1ABE"/>
    <w:rsid w:val="00AA25BB"/>
    <w:rsid w:val="00AA7703"/>
    <w:rsid w:val="00AB0390"/>
    <w:rsid w:val="00AB1576"/>
    <w:rsid w:val="00AB1B67"/>
    <w:rsid w:val="00AB34E8"/>
    <w:rsid w:val="00AB4E52"/>
    <w:rsid w:val="00AB59A9"/>
    <w:rsid w:val="00AB6625"/>
    <w:rsid w:val="00AC105E"/>
    <w:rsid w:val="00AC15BB"/>
    <w:rsid w:val="00AC5A3B"/>
    <w:rsid w:val="00AC6562"/>
    <w:rsid w:val="00AC68ED"/>
    <w:rsid w:val="00AD197F"/>
    <w:rsid w:val="00AD2E4E"/>
    <w:rsid w:val="00AE0967"/>
    <w:rsid w:val="00AE3EC0"/>
    <w:rsid w:val="00AE5BB0"/>
    <w:rsid w:val="00AF19AA"/>
    <w:rsid w:val="00AF2E60"/>
    <w:rsid w:val="00AF5554"/>
    <w:rsid w:val="00AF6DBC"/>
    <w:rsid w:val="00B0535F"/>
    <w:rsid w:val="00B05A01"/>
    <w:rsid w:val="00B06226"/>
    <w:rsid w:val="00B066F0"/>
    <w:rsid w:val="00B103F8"/>
    <w:rsid w:val="00B1135D"/>
    <w:rsid w:val="00B11897"/>
    <w:rsid w:val="00B16580"/>
    <w:rsid w:val="00B22219"/>
    <w:rsid w:val="00B224BA"/>
    <w:rsid w:val="00B24C6A"/>
    <w:rsid w:val="00B25FF1"/>
    <w:rsid w:val="00B26FD0"/>
    <w:rsid w:val="00B27741"/>
    <w:rsid w:val="00B316B9"/>
    <w:rsid w:val="00B34282"/>
    <w:rsid w:val="00B348EB"/>
    <w:rsid w:val="00B36718"/>
    <w:rsid w:val="00B37586"/>
    <w:rsid w:val="00B3775C"/>
    <w:rsid w:val="00B402F8"/>
    <w:rsid w:val="00B4678D"/>
    <w:rsid w:val="00B47EEB"/>
    <w:rsid w:val="00B50310"/>
    <w:rsid w:val="00B51E25"/>
    <w:rsid w:val="00B5314F"/>
    <w:rsid w:val="00B53A28"/>
    <w:rsid w:val="00B54519"/>
    <w:rsid w:val="00B54D7A"/>
    <w:rsid w:val="00B60084"/>
    <w:rsid w:val="00B60C19"/>
    <w:rsid w:val="00B65AC2"/>
    <w:rsid w:val="00B661EF"/>
    <w:rsid w:val="00B71B5F"/>
    <w:rsid w:val="00B71CC7"/>
    <w:rsid w:val="00B760E3"/>
    <w:rsid w:val="00B7770D"/>
    <w:rsid w:val="00B81E2C"/>
    <w:rsid w:val="00B81E4D"/>
    <w:rsid w:val="00B92AF9"/>
    <w:rsid w:val="00B94D6C"/>
    <w:rsid w:val="00B97918"/>
    <w:rsid w:val="00BA4284"/>
    <w:rsid w:val="00BA7F11"/>
    <w:rsid w:val="00BB2289"/>
    <w:rsid w:val="00BB2EB8"/>
    <w:rsid w:val="00BB4BAC"/>
    <w:rsid w:val="00BC1A33"/>
    <w:rsid w:val="00BC2757"/>
    <w:rsid w:val="00BC2E21"/>
    <w:rsid w:val="00BC3A80"/>
    <w:rsid w:val="00BC5C66"/>
    <w:rsid w:val="00BC6208"/>
    <w:rsid w:val="00BD77B6"/>
    <w:rsid w:val="00BE1825"/>
    <w:rsid w:val="00BE256D"/>
    <w:rsid w:val="00BE62FA"/>
    <w:rsid w:val="00BF01DD"/>
    <w:rsid w:val="00BF3B55"/>
    <w:rsid w:val="00BF533B"/>
    <w:rsid w:val="00BF5765"/>
    <w:rsid w:val="00BF5F4A"/>
    <w:rsid w:val="00BF73EE"/>
    <w:rsid w:val="00C00018"/>
    <w:rsid w:val="00C07E15"/>
    <w:rsid w:val="00C10FC0"/>
    <w:rsid w:val="00C12DBB"/>
    <w:rsid w:val="00C156E8"/>
    <w:rsid w:val="00C15D4D"/>
    <w:rsid w:val="00C16BBA"/>
    <w:rsid w:val="00C16C50"/>
    <w:rsid w:val="00C1709B"/>
    <w:rsid w:val="00C21520"/>
    <w:rsid w:val="00C2274B"/>
    <w:rsid w:val="00C24782"/>
    <w:rsid w:val="00C30F9A"/>
    <w:rsid w:val="00C3107E"/>
    <w:rsid w:val="00C32B29"/>
    <w:rsid w:val="00C32E63"/>
    <w:rsid w:val="00C337B7"/>
    <w:rsid w:val="00C36160"/>
    <w:rsid w:val="00C3682B"/>
    <w:rsid w:val="00C40A9F"/>
    <w:rsid w:val="00C45ADC"/>
    <w:rsid w:val="00C460DD"/>
    <w:rsid w:val="00C460F2"/>
    <w:rsid w:val="00C46942"/>
    <w:rsid w:val="00C53344"/>
    <w:rsid w:val="00C5366D"/>
    <w:rsid w:val="00C538F7"/>
    <w:rsid w:val="00C550B3"/>
    <w:rsid w:val="00C624BF"/>
    <w:rsid w:val="00C629DA"/>
    <w:rsid w:val="00C62CC7"/>
    <w:rsid w:val="00C6304E"/>
    <w:rsid w:val="00C722F5"/>
    <w:rsid w:val="00C72960"/>
    <w:rsid w:val="00C741DC"/>
    <w:rsid w:val="00C74D2F"/>
    <w:rsid w:val="00C74DDD"/>
    <w:rsid w:val="00C75149"/>
    <w:rsid w:val="00C75342"/>
    <w:rsid w:val="00C76B5C"/>
    <w:rsid w:val="00C80483"/>
    <w:rsid w:val="00C81907"/>
    <w:rsid w:val="00C86DD1"/>
    <w:rsid w:val="00C90BF7"/>
    <w:rsid w:val="00C938A2"/>
    <w:rsid w:val="00C93AE1"/>
    <w:rsid w:val="00C972DB"/>
    <w:rsid w:val="00CA768F"/>
    <w:rsid w:val="00CB0AEB"/>
    <w:rsid w:val="00CB290F"/>
    <w:rsid w:val="00CB31C6"/>
    <w:rsid w:val="00CB5687"/>
    <w:rsid w:val="00CC2006"/>
    <w:rsid w:val="00CD0D0C"/>
    <w:rsid w:val="00CD0F8F"/>
    <w:rsid w:val="00CD461F"/>
    <w:rsid w:val="00CD7BB9"/>
    <w:rsid w:val="00CE52FA"/>
    <w:rsid w:val="00CE6107"/>
    <w:rsid w:val="00CF1789"/>
    <w:rsid w:val="00CF2330"/>
    <w:rsid w:val="00CF357F"/>
    <w:rsid w:val="00CF3CC7"/>
    <w:rsid w:val="00CF540B"/>
    <w:rsid w:val="00CF5B74"/>
    <w:rsid w:val="00CF5B99"/>
    <w:rsid w:val="00CF5EAE"/>
    <w:rsid w:val="00CF7A9F"/>
    <w:rsid w:val="00D0203C"/>
    <w:rsid w:val="00D02292"/>
    <w:rsid w:val="00D024A6"/>
    <w:rsid w:val="00D031CC"/>
    <w:rsid w:val="00D1048A"/>
    <w:rsid w:val="00D10EF5"/>
    <w:rsid w:val="00D138EF"/>
    <w:rsid w:val="00D15090"/>
    <w:rsid w:val="00D2098D"/>
    <w:rsid w:val="00D225A8"/>
    <w:rsid w:val="00D262F6"/>
    <w:rsid w:val="00D27612"/>
    <w:rsid w:val="00D27E27"/>
    <w:rsid w:val="00D33C79"/>
    <w:rsid w:val="00D344A2"/>
    <w:rsid w:val="00D40B46"/>
    <w:rsid w:val="00D40E37"/>
    <w:rsid w:val="00D4232E"/>
    <w:rsid w:val="00D43E4C"/>
    <w:rsid w:val="00D46C06"/>
    <w:rsid w:val="00D470B6"/>
    <w:rsid w:val="00D473FA"/>
    <w:rsid w:val="00D5715C"/>
    <w:rsid w:val="00D6059B"/>
    <w:rsid w:val="00D6447A"/>
    <w:rsid w:val="00D64F05"/>
    <w:rsid w:val="00D65E90"/>
    <w:rsid w:val="00D66FC9"/>
    <w:rsid w:val="00D67354"/>
    <w:rsid w:val="00D73EA7"/>
    <w:rsid w:val="00D7502C"/>
    <w:rsid w:val="00D77DAF"/>
    <w:rsid w:val="00D80B00"/>
    <w:rsid w:val="00D80D3C"/>
    <w:rsid w:val="00D9139B"/>
    <w:rsid w:val="00D936D0"/>
    <w:rsid w:val="00D97A71"/>
    <w:rsid w:val="00D97F70"/>
    <w:rsid w:val="00DA0E04"/>
    <w:rsid w:val="00DA1253"/>
    <w:rsid w:val="00DA1BBE"/>
    <w:rsid w:val="00DA4117"/>
    <w:rsid w:val="00DB086B"/>
    <w:rsid w:val="00DB6601"/>
    <w:rsid w:val="00DC10B0"/>
    <w:rsid w:val="00DC508F"/>
    <w:rsid w:val="00DD00EC"/>
    <w:rsid w:val="00DD1938"/>
    <w:rsid w:val="00DD248E"/>
    <w:rsid w:val="00DD59BE"/>
    <w:rsid w:val="00DD5A3E"/>
    <w:rsid w:val="00DD7E83"/>
    <w:rsid w:val="00DE086E"/>
    <w:rsid w:val="00DE21D6"/>
    <w:rsid w:val="00DE62C7"/>
    <w:rsid w:val="00DE6B13"/>
    <w:rsid w:val="00DE784E"/>
    <w:rsid w:val="00E01F63"/>
    <w:rsid w:val="00E025F6"/>
    <w:rsid w:val="00E0279C"/>
    <w:rsid w:val="00E0780D"/>
    <w:rsid w:val="00E07EE7"/>
    <w:rsid w:val="00E10F78"/>
    <w:rsid w:val="00E152B1"/>
    <w:rsid w:val="00E15791"/>
    <w:rsid w:val="00E166BD"/>
    <w:rsid w:val="00E17111"/>
    <w:rsid w:val="00E17704"/>
    <w:rsid w:val="00E2069F"/>
    <w:rsid w:val="00E264FA"/>
    <w:rsid w:val="00E26F2F"/>
    <w:rsid w:val="00E27334"/>
    <w:rsid w:val="00E27A58"/>
    <w:rsid w:val="00E36A43"/>
    <w:rsid w:val="00E40E42"/>
    <w:rsid w:val="00E430D3"/>
    <w:rsid w:val="00E442F4"/>
    <w:rsid w:val="00E45566"/>
    <w:rsid w:val="00E46D5E"/>
    <w:rsid w:val="00E51263"/>
    <w:rsid w:val="00E54BC4"/>
    <w:rsid w:val="00E54DFB"/>
    <w:rsid w:val="00E55CD8"/>
    <w:rsid w:val="00E612AF"/>
    <w:rsid w:val="00E62816"/>
    <w:rsid w:val="00E67DAA"/>
    <w:rsid w:val="00E722EC"/>
    <w:rsid w:val="00E7662F"/>
    <w:rsid w:val="00E76CDD"/>
    <w:rsid w:val="00E80486"/>
    <w:rsid w:val="00E81910"/>
    <w:rsid w:val="00E81A37"/>
    <w:rsid w:val="00E841CB"/>
    <w:rsid w:val="00E872DB"/>
    <w:rsid w:val="00E93C24"/>
    <w:rsid w:val="00E94180"/>
    <w:rsid w:val="00E94608"/>
    <w:rsid w:val="00EA0B1A"/>
    <w:rsid w:val="00EA3EDF"/>
    <w:rsid w:val="00EA423D"/>
    <w:rsid w:val="00EA5017"/>
    <w:rsid w:val="00EA55F0"/>
    <w:rsid w:val="00EA5D10"/>
    <w:rsid w:val="00EB66A8"/>
    <w:rsid w:val="00EC1447"/>
    <w:rsid w:val="00EC3B64"/>
    <w:rsid w:val="00EC4C37"/>
    <w:rsid w:val="00ED0288"/>
    <w:rsid w:val="00ED676A"/>
    <w:rsid w:val="00ED70F7"/>
    <w:rsid w:val="00ED7684"/>
    <w:rsid w:val="00EE0224"/>
    <w:rsid w:val="00EE5423"/>
    <w:rsid w:val="00EE6A5E"/>
    <w:rsid w:val="00EF2C5E"/>
    <w:rsid w:val="00EF323F"/>
    <w:rsid w:val="00EF7915"/>
    <w:rsid w:val="00F00C87"/>
    <w:rsid w:val="00F0553A"/>
    <w:rsid w:val="00F05D2E"/>
    <w:rsid w:val="00F07E54"/>
    <w:rsid w:val="00F12341"/>
    <w:rsid w:val="00F12376"/>
    <w:rsid w:val="00F24C8B"/>
    <w:rsid w:val="00F26FFB"/>
    <w:rsid w:val="00F31733"/>
    <w:rsid w:val="00F3268E"/>
    <w:rsid w:val="00F32E37"/>
    <w:rsid w:val="00F33252"/>
    <w:rsid w:val="00F356B3"/>
    <w:rsid w:val="00F36A09"/>
    <w:rsid w:val="00F37803"/>
    <w:rsid w:val="00F40EA9"/>
    <w:rsid w:val="00F41B9F"/>
    <w:rsid w:val="00F4774F"/>
    <w:rsid w:val="00F47C11"/>
    <w:rsid w:val="00F534DA"/>
    <w:rsid w:val="00F54636"/>
    <w:rsid w:val="00F605DF"/>
    <w:rsid w:val="00F6173E"/>
    <w:rsid w:val="00F622A1"/>
    <w:rsid w:val="00F65E1B"/>
    <w:rsid w:val="00F66F35"/>
    <w:rsid w:val="00F73B31"/>
    <w:rsid w:val="00F80E00"/>
    <w:rsid w:val="00F82186"/>
    <w:rsid w:val="00F82E2E"/>
    <w:rsid w:val="00F83226"/>
    <w:rsid w:val="00F83F95"/>
    <w:rsid w:val="00F852CA"/>
    <w:rsid w:val="00F91533"/>
    <w:rsid w:val="00F93CC2"/>
    <w:rsid w:val="00F967C4"/>
    <w:rsid w:val="00F972B7"/>
    <w:rsid w:val="00FA47A6"/>
    <w:rsid w:val="00FA4B09"/>
    <w:rsid w:val="00FA7D2E"/>
    <w:rsid w:val="00FB172F"/>
    <w:rsid w:val="00FB3B90"/>
    <w:rsid w:val="00FB3E13"/>
    <w:rsid w:val="00FB5001"/>
    <w:rsid w:val="00FB6459"/>
    <w:rsid w:val="00FC1DF8"/>
    <w:rsid w:val="00FC233B"/>
    <w:rsid w:val="00FC3B36"/>
    <w:rsid w:val="00FC3D19"/>
    <w:rsid w:val="00FC50A7"/>
    <w:rsid w:val="00FD1412"/>
    <w:rsid w:val="00FE270B"/>
    <w:rsid w:val="00FE7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1A51"/>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2207</Words>
  <Characters>11923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2017-01-03T17:28:00Z</dcterms:created>
  <dcterms:modified xsi:type="dcterms:W3CDTF">2017-01-03T17:29:00Z</dcterms:modified>
</cp:coreProperties>
</file>