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8B4072">
        <w:rPr>
          <w:b/>
          <w:sz w:val="24"/>
          <w:szCs w:val="24"/>
        </w:rPr>
        <w:t>1</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1A16FB" w:rsidRDefault="001A16FB" w:rsidP="00A0419E">
      <w:pPr>
        <w:rPr>
          <w:sz w:val="24"/>
          <w:szCs w:val="24"/>
        </w:rPr>
      </w:pPr>
    </w:p>
    <w:p w:rsidR="001A16FB" w:rsidRDefault="001A16FB" w:rsidP="00A0419E">
      <w:pPr>
        <w:rPr>
          <w:sz w:val="24"/>
          <w:szCs w:val="24"/>
        </w:rPr>
      </w:pPr>
    </w:p>
    <w:p w:rsidR="001A16FB" w:rsidRPr="0005406E" w:rsidRDefault="00064952" w:rsidP="001A16FB">
      <w:pPr>
        <w:shd w:val="clear" w:color="auto" w:fill="FFFFFF"/>
        <w:spacing w:after="0" w:line="240" w:lineRule="auto"/>
        <w:rPr>
          <w:rFonts w:eastAsia="Times New Roman" w:cs="Arial"/>
          <w:color w:val="222222"/>
          <w:sz w:val="22"/>
          <w:szCs w:val="22"/>
          <w:lang w:eastAsia="pt-BR"/>
        </w:rPr>
      </w:pPr>
      <w:bookmarkStart w:id="0" w:name="_Hlk11082289"/>
      <w:r w:rsidRPr="0005406E">
        <w:rPr>
          <w:rFonts w:ascii="Calibri" w:hAnsi="Calibri"/>
          <w:b/>
          <w:bCs/>
          <w:color w:val="222222"/>
          <w:sz w:val="22"/>
          <w:szCs w:val="22"/>
        </w:rPr>
        <w:t>OBJETOS DE VIDRO PARA MESA</w:t>
      </w:r>
      <w:r w:rsidR="001A16FB" w:rsidRPr="0005406E">
        <w:rPr>
          <w:rFonts w:ascii="Calibri" w:hAnsi="Calibri"/>
          <w:b/>
          <w:bCs/>
          <w:color w:val="222222"/>
          <w:sz w:val="22"/>
          <w:szCs w:val="22"/>
        </w:rPr>
        <w:t xml:space="preserve"> (NCM </w:t>
      </w:r>
      <w:r w:rsidRPr="0005406E">
        <w:rPr>
          <w:rFonts w:ascii="Calibri" w:hAnsi="Calibri"/>
          <w:b/>
          <w:bCs/>
          <w:color w:val="222222"/>
          <w:sz w:val="22"/>
          <w:szCs w:val="22"/>
        </w:rPr>
        <w:t>7013.49.00</w:t>
      </w:r>
      <w:r w:rsidR="001A16FB" w:rsidRPr="0005406E">
        <w:rPr>
          <w:rFonts w:ascii="Calibri" w:hAnsi="Calibri"/>
          <w:b/>
          <w:bCs/>
          <w:color w:val="000000"/>
          <w:sz w:val="22"/>
          <w:szCs w:val="22"/>
        </w:rPr>
        <w:t>)</w:t>
      </w:r>
      <w:r w:rsidR="001A16FB" w:rsidRPr="0005406E">
        <w:rPr>
          <w:rFonts w:ascii="Calibri" w:hAnsi="Calibri"/>
          <w:b/>
          <w:bCs/>
          <w:color w:val="222222"/>
          <w:sz w:val="22"/>
          <w:szCs w:val="22"/>
        </w:rPr>
        <w:t> –</w:t>
      </w:r>
      <w:r w:rsidR="001A16FB" w:rsidRPr="0005406E">
        <w:rPr>
          <w:rFonts w:ascii="Calibri" w:hAnsi="Calibri"/>
          <w:color w:val="222222"/>
          <w:sz w:val="22"/>
          <w:szCs w:val="22"/>
        </w:rPr>
        <w:t> A SECEX</w:t>
      </w:r>
      <w:r w:rsidR="002E689B" w:rsidRPr="0005406E">
        <w:rPr>
          <w:sz w:val="22"/>
          <w:szCs w:val="22"/>
        </w:rPr>
        <w:t xml:space="preserve"> </w:t>
      </w:r>
      <w:r w:rsidR="002E689B" w:rsidRPr="0005406E">
        <w:rPr>
          <w:sz w:val="22"/>
          <w:szCs w:val="22"/>
        </w:rPr>
        <w:t>encerr</w:t>
      </w:r>
      <w:r w:rsidR="002E689B" w:rsidRPr="0005406E">
        <w:rPr>
          <w:sz w:val="22"/>
          <w:szCs w:val="22"/>
        </w:rPr>
        <w:t>ou</w:t>
      </w:r>
      <w:r w:rsidR="002E689B" w:rsidRPr="0005406E">
        <w:rPr>
          <w:sz w:val="22"/>
          <w:szCs w:val="22"/>
        </w:rPr>
        <w:t xml:space="preserve"> a avaliação de escopo e</w:t>
      </w:r>
      <w:r w:rsidR="002E689B" w:rsidRPr="0005406E">
        <w:rPr>
          <w:sz w:val="22"/>
          <w:szCs w:val="22"/>
        </w:rPr>
        <w:t xml:space="preserve"> concluiu que tanto</w:t>
      </w:r>
      <w:r w:rsidR="002E689B" w:rsidRPr="0005406E">
        <w:rPr>
          <w:sz w:val="22"/>
          <w:szCs w:val="22"/>
        </w:rPr>
        <w:t xml:space="preserve"> as importações de canecas de vidro com tampa e canudo removíveis com capacidade para 500 ml</w:t>
      </w:r>
      <w:r w:rsidR="002E689B" w:rsidRPr="0005406E">
        <w:rPr>
          <w:sz w:val="22"/>
          <w:szCs w:val="22"/>
        </w:rPr>
        <w:t xml:space="preserve">, como também os </w:t>
      </w:r>
      <w:proofErr w:type="spellStart"/>
      <w:r w:rsidR="002E689B" w:rsidRPr="0005406E">
        <w:rPr>
          <w:sz w:val="22"/>
          <w:szCs w:val="22"/>
        </w:rPr>
        <w:t>sousplat</w:t>
      </w:r>
      <w:proofErr w:type="spellEnd"/>
      <w:r w:rsidR="002E689B" w:rsidRPr="0005406E">
        <w:rPr>
          <w:sz w:val="22"/>
          <w:szCs w:val="22"/>
        </w:rPr>
        <w:t xml:space="preserve"> de vidro sodo-cálcico</w:t>
      </w:r>
      <w:r w:rsidR="002E689B" w:rsidRPr="0005406E">
        <w:rPr>
          <w:sz w:val="22"/>
          <w:szCs w:val="22"/>
        </w:rPr>
        <w:t>,</w:t>
      </w:r>
      <w:r w:rsidR="002E689B" w:rsidRPr="0005406E">
        <w:rPr>
          <w:sz w:val="22"/>
          <w:szCs w:val="22"/>
        </w:rPr>
        <w:t xml:space="preserve"> não estão sujeitas à aplicação dos direitos antidumping sobre as importações de objetos de vidro para mesa da Argentina, China e Indonésia, instituídos pela Resolução CAMEX n</w:t>
      </w:r>
      <w:r w:rsidR="002E689B" w:rsidRPr="0005406E">
        <w:rPr>
          <w:sz w:val="22"/>
          <w:szCs w:val="22"/>
        </w:rPr>
        <w:t>º</w:t>
      </w:r>
      <w:r w:rsidR="002E689B" w:rsidRPr="0005406E">
        <w:rPr>
          <w:sz w:val="22"/>
          <w:szCs w:val="22"/>
        </w:rPr>
        <w:t xml:space="preserve"> 8, de 2011, prorrogad</w:t>
      </w:r>
      <w:r w:rsidR="002E689B" w:rsidRPr="0005406E">
        <w:rPr>
          <w:sz w:val="22"/>
          <w:szCs w:val="22"/>
        </w:rPr>
        <w:t>a</w:t>
      </w:r>
      <w:r w:rsidR="002E689B" w:rsidRPr="0005406E">
        <w:rPr>
          <w:sz w:val="22"/>
          <w:szCs w:val="22"/>
        </w:rPr>
        <w:t xml:space="preserve"> pela Resolução CAMEX n</w:t>
      </w:r>
      <w:r w:rsidR="002E689B" w:rsidRPr="0005406E">
        <w:rPr>
          <w:sz w:val="22"/>
          <w:szCs w:val="22"/>
        </w:rPr>
        <w:t>º</w:t>
      </w:r>
      <w:r w:rsidR="002E689B" w:rsidRPr="0005406E">
        <w:rPr>
          <w:sz w:val="22"/>
          <w:szCs w:val="22"/>
        </w:rPr>
        <w:t xml:space="preserve"> 126, de 2016. </w:t>
      </w:r>
      <w:r w:rsidR="002E689B" w:rsidRPr="0005406E">
        <w:rPr>
          <w:sz w:val="22"/>
          <w:szCs w:val="22"/>
        </w:rPr>
        <w:t>Os direitos afastados são de (i)</w:t>
      </w:r>
      <w:r w:rsidR="002E689B" w:rsidRPr="0005406E">
        <w:rPr>
          <w:sz w:val="22"/>
          <w:szCs w:val="22"/>
        </w:rPr>
        <w:t xml:space="preserve"> US$ 0,18/kg</w:t>
      </w:r>
      <w:r w:rsidR="002E689B" w:rsidRPr="0005406E">
        <w:rPr>
          <w:sz w:val="22"/>
          <w:szCs w:val="22"/>
        </w:rPr>
        <w:t>,</w:t>
      </w:r>
      <w:r w:rsidR="002E689B" w:rsidRPr="0005406E">
        <w:rPr>
          <w:sz w:val="22"/>
          <w:szCs w:val="22"/>
        </w:rPr>
        <w:t xml:space="preserve"> para a empresa argentina </w:t>
      </w:r>
      <w:proofErr w:type="spellStart"/>
      <w:r w:rsidR="002E689B" w:rsidRPr="0005406E">
        <w:rPr>
          <w:sz w:val="22"/>
          <w:szCs w:val="22"/>
        </w:rPr>
        <w:t>Rigolleau</w:t>
      </w:r>
      <w:proofErr w:type="spellEnd"/>
      <w:r w:rsidR="002E689B" w:rsidRPr="0005406E">
        <w:rPr>
          <w:sz w:val="22"/>
          <w:szCs w:val="22"/>
        </w:rPr>
        <w:t xml:space="preserve"> </w:t>
      </w:r>
      <w:proofErr w:type="spellStart"/>
      <w:r w:rsidR="002E689B" w:rsidRPr="0005406E">
        <w:rPr>
          <w:sz w:val="22"/>
          <w:szCs w:val="22"/>
        </w:rPr>
        <w:t>S.A.</w:t>
      </w:r>
      <w:r w:rsidR="002E689B" w:rsidRPr="0005406E">
        <w:rPr>
          <w:sz w:val="22"/>
          <w:szCs w:val="22"/>
        </w:rPr>
        <w:t>e</w:t>
      </w:r>
      <w:proofErr w:type="spellEnd"/>
      <w:r w:rsidR="002E689B" w:rsidRPr="0005406E">
        <w:rPr>
          <w:sz w:val="22"/>
          <w:szCs w:val="22"/>
        </w:rPr>
        <w:t xml:space="preserve"> de </w:t>
      </w:r>
      <w:r w:rsidR="002E689B" w:rsidRPr="0005406E">
        <w:rPr>
          <w:sz w:val="22"/>
          <w:szCs w:val="22"/>
        </w:rPr>
        <w:t xml:space="preserve"> US$ 0,37/kg </w:t>
      </w:r>
      <w:r w:rsidR="002E689B" w:rsidRPr="0005406E">
        <w:rPr>
          <w:sz w:val="22"/>
          <w:szCs w:val="22"/>
        </w:rPr>
        <w:t>,</w:t>
      </w:r>
      <w:r w:rsidR="002E689B" w:rsidRPr="0005406E">
        <w:rPr>
          <w:sz w:val="22"/>
          <w:szCs w:val="22"/>
        </w:rPr>
        <w:t xml:space="preserve"> para os demais produtores argentinos; </w:t>
      </w:r>
      <w:r w:rsidR="002E689B" w:rsidRPr="0005406E">
        <w:rPr>
          <w:sz w:val="22"/>
          <w:szCs w:val="22"/>
        </w:rPr>
        <w:t>(</w:t>
      </w:r>
      <w:proofErr w:type="spellStart"/>
      <w:r w:rsidR="002E689B" w:rsidRPr="0005406E">
        <w:rPr>
          <w:sz w:val="22"/>
          <w:szCs w:val="22"/>
        </w:rPr>
        <w:t>ii</w:t>
      </w:r>
      <w:proofErr w:type="spellEnd"/>
      <w:r w:rsidR="002E689B" w:rsidRPr="0005406E">
        <w:rPr>
          <w:sz w:val="22"/>
          <w:szCs w:val="22"/>
        </w:rPr>
        <w:t>) de</w:t>
      </w:r>
      <w:r w:rsidR="002E689B" w:rsidRPr="0005406E">
        <w:rPr>
          <w:sz w:val="22"/>
          <w:szCs w:val="22"/>
        </w:rPr>
        <w:t xml:space="preserve"> US$ 0,15/kg </w:t>
      </w:r>
      <w:r w:rsidR="002E689B" w:rsidRPr="0005406E">
        <w:rPr>
          <w:sz w:val="22"/>
          <w:szCs w:val="22"/>
        </w:rPr>
        <w:t>,</w:t>
      </w:r>
      <w:r w:rsidR="002E689B" w:rsidRPr="0005406E">
        <w:rPr>
          <w:sz w:val="22"/>
          <w:szCs w:val="22"/>
        </w:rPr>
        <w:t xml:space="preserve"> para a Indonésia;</w:t>
      </w:r>
      <w:r w:rsidR="002E689B" w:rsidRPr="0005406E">
        <w:rPr>
          <w:sz w:val="22"/>
          <w:szCs w:val="22"/>
        </w:rPr>
        <w:t xml:space="preserve"> e de (</w:t>
      </w:r>
      <w:proofErr w:type="spellStart"/>
      <w:r w:rsidR="002E689B" w:rsidRPr="0005406E">
        <w:rPr>
          <w:sz w:val="22"/>
          <w:szCs w:val="22"/>
        </w:rPr>
        <w:t>iii</w:t>
      </w:r>
      <w:proofErr w:type="spellEnd"/>
      <w:r w:rsidR="002E689B" w:rsidRPr="0005406E">
        <w:rPr>
          <w:sz w:val="22"/>
          <w:szCs w:val="22"/>
        </w:rPr>
        <w:t>)</w:t>
      </w:r>
      <w:r w:rsidR="002E689B" w:rsidRPr="0005406E">
        <w:rPr>
          <w:sz w:val="22"/>
          <w:szCs w:val="22"/>
        </w:rPr>
        <w:t xml:space="preserve"> US$ 1,70/kg </w:t>
      </w:r>
      <w:r w:rsidR="002E689B" w:rsidRPr="0005406E">
        <w:rPr>
          <w:sz w:val="22"/>
          <w:szCs w:val="22"/>
        </w:rPr>
        <w:t xml:space="preserve">, </w:t>
      </w:r>
      <w:r w:rsidR="002E689B" w:rsidRPr="0005406E">
        <w:rPr>
          <w:sz w:val="22"/>
          <w:szCs w:val="22"/>
        </w:rPr>
        <w:t xml:space="preserve">para a China. </w:t>
      </w:r>
      <w:r w:rsidR="001A16FB" w:rsidRPr="0005406E">
        <w:rPr>
          <w:rFonts w:ascii="Calibri" w:hAnsi="Calibri"/>
          <w:color w:val="222222"/>
          <w:sz w:val="22"/>
          <w:szCs w:val="22"/>
        </w:rPr>
        <w:t xml:space="preserve">A mercadoria está sujeita a licenciamento </w:t>
      </w:r>
      <w:r w:rsidR="0005406E" w:rsidRPr="0005406E">
        <w:rPr>
          <w:rFonts w:ascii="Calibri" w:hAnsi="Calibri"/>
          <w:color w:val="222222"/>
          <w:sz w:val="22"/>
          <w:szCs w:val="22"/>
        </w:rPr>
        <w:t>a</w:t>
      </w:r>
      <w:r w:rsidR="001A16FB" w:rsidRPr="0005406E">
        <w:rPr>
          <w:rFonts w:ascii="Calibri" w:hAnsi="Calibri"/>
          <w:color w:val="222222"/>
          <w:sz w:val="22"/>
          <w:szCs w:val="22"/>
        </w:rPr>
        <w:t xml:space="preserve">utomático, sob anuência do </w:t>
      </w:r>
      <w:r w:rsidR="0005406E" w:rsidRPr="0005406E">
        <w:rPr>
          <w:rFonts w:ascii="Calibri" w:hAnsi="Calibri"/>
          <w:color w:val="222222"/>
          <w:sz w:val="22"/>
          <w:szCs w:val="22"/>
        </w:rPr>
        <w:t>SUEXT</w:t>
      </w:r>
      <w:r w:rsidR="001A16FB" w:rsidRPr="0005406E">
        <w:rPr>
          <w:rFonts w:ascii="Calibri" w:hAnsi="Calibri"/>
          <w:color w:val="222222"/>
          <w:sz w:val="22"/>
          <w:szCs w:val="22"/>
        </w:rPr>
        <w:t xml:space="preserve">, desde </w:t>
      </w:r>
      <w:r w:rsidR="0005406E" w:rsidRPr="0005406E">
        <w:rPr>
          <w:rFonts w:ascii="Calibri" w:hAnsi="Calibri"/>
          <w:color w:val="222222"/>
          <w:sz w:val="22"/>
          <w:szCs w:val="22"/>
        </w:rPr>
        <w:t>2012, mas possui destaque, para licenciamento não automático, também do SUEXT, desde 2016</w:t>
      </w:r>
      <w:r w:rsidR="001A16FB" w:rsidRPr="0005406E">
        <w:rPr>
          <w:rFonts w:ascii="Calibri" w:hAnsi="Calibri"/>
          <w:color w:val="222222"/>
          <w:sz w:val="22"/>
          <w:szCs w:val="22"/>
        </w:rPr>
        <w:t> (</w:t>
      </w:r>
      <w:r w:rsidRPr="0005406E">
        <w:rPr>
          <w:rFonts w:ascii="Calibri" w:hAnsi="Calibri"/>
          <w:color w:val="222222"/>
          <w:sz w:val="22"/>
          <w:szCs w:val="22"/>
        </w:rPr>
        <w:t>Portarias SECINT</w:t>
      </w:r>
      <w:r w:rsidR="001A16FB" w:rsidRPr="0005406E">
        <w:rPr>
          <w:rFonts w:ascii="Calibri" w:hAnsi="Calibri"/>
          <w:color w:val="222222"/>
          <w:sz w:val="22"/>
          <w:szCs w:val="22"/>
        </w:rPr>
        <w:t xml:space="preserve"> </w:t>
      </w:r>
      <w:proofErr w:type="spellStart"/>
      <w:r w:rsidR="001A16FB" w:rsidRPr="0005406E">
        <w:rPr>
          <w:rFonts w:ascii="Calibri" w:hAnsi="Calibri"/>
          <w:color w:val="222222"/>
          <w:sz w:val="22"/>
          <w:szCs w:val="22"/>
        </w:rPr>
        <w:t>n°</w:t>
      </w:r>
      <w:r w:rsidRPr="0005406E">
        <w:rPr>
          <w:rFonts w:ascii="Calibri" w:hAnsi="Calibri"/>
          <w:color w:val="222222"/>
          <w:sz w:val="22"/>
          <w:szCs w:val="22"/>
        </w:rPr>
        <w:t>s</w:t>
      </w:r>
      <w:proofErr w:type="spellEnd"/>
      <w:r w:rsidR="001A16FB" w:rsidRPr="0005406E">
        <w:rPr>
          <w:rFonts w:ascii="Calibri" w:hAnsi="Calibri"/>
          <w:color w:val="222222"/>
          <w:sz w:val="22"/>
          <w:szCs w:val="22"/>
        </w:rPr>
        <w:t xml:space="preserve"> </w:t>
      </w:r>
      <w:r w:rsidRPr="0005406E">
        <w:rPr>
          <w:rFonts w:ascii="Calibri" w:hAnsi="Calibri"/>
          <w:color w:val="222222"/>
          <w:sz w:val="22"/>
          <w:szCs w:val="22"/>
        </w:rPr>
        <w:t>4</w:t>
      </w:r>
      <w:r w:rsidR="001A16FB" w:rsidRPr="0005406E">
        <w:rPr>
          <w:rFonts w:ascii="Calibri" w:hAnsi="Calibri"/>
          <w:color w:val="222222"/>
          <w:sz w:val="22"/>
          <w:szCs w:val="22"/>
        </w:rPr>
        <w:t>3</w:t>
      </w:r>
      <w:r w:rsidRPr="0005406E">
        <w:rPr>
          <w:rFonts w:ascii="Calibri" w:hAnsi="Calibri"/>
          <w:color w:val="222222"/>
          <w:sz w:val="22"/>
          <w:szCs w:val="22"/>
        </w:rPr>
        <w:t>4</w:t>
      </w:r>
      <w:r w:rsidR="002E689B" w:rsidRPr="0005406E">
        <w:rPr>
          <w:rFonts w:ascii="Calibri" w:hAnsi="Calibri"/>
          <w:color w:val="222222"/>
          <w:sz w:val="22"/>
          <w:szCs w:val="22"/>
        </w:rPr>
        <w:t xml:space="preserve"> e 438</w:t>
      </w:r>
      <w:r w:rsidR="001A16FB" w:rsidRPr="0005406E">
        <w:rPr>
          <w:rFonts w:ascii="Calibri" w:hAnsi="Calibri"/>
          <w:color w:val="222222"/>
          <w:sz w:val="22"/>
          <w:szCs w:val="22"/>
        </w:rPr>
        <w:t xml:space="preserve">, de </w:t>
      </w:r>
      <w:r w:rsidRPr="0005406E">
        <w:rPr>
          <w:rFonts w:ascii="Calibri" w:hAnsi="Calibri"/>
          <w:color w:val="222222"/>
          <w:sz w:val="22"/>
          <w:szCs w:val="22"/>
        </w:rPr>
        <w:t>0</w:t>
      </w:r>
      <w:r w:rsidR="001A16FB" w:rsidRPr="0005406E">
        <w:rPr>
          <w:rFonts w:ascii="Calibri" w:hAnsi="Calibri"/>
          <w:color w:val="222222"/>
          <w:sz w:val="22"/>
          <w:szCs w:val="22"/>
        </w:rPr>
        <w:t>7/0</w:t>
      </w:r>
      <w:r w:rsidR="002E689B" w:rsidRPr="0005406E">
        <w:rPr>
          <w:rFonts w:ascii="Calibri" w:hAnsi="Calibri"/>
          <w:color w:val="222222"/>
          <w:sz w:val="22"/>
          <w:szCs w:val="22"/>
        </w:rPr>
        <w:t>6</w:t>
      </w:r>
      <w:r w:rsidR="001A16FB" w:rsidRPr="0005406E">
        <w:rPr>
          <w:rFonts w:ascii="Calibri" w:hAnsi="Calibri"/>
          <w:color w:val="222222"/>
          <w:sz w:val="22"/>
          <w:szCs w:val="22"/>
        </w:rPr>
        <w:t xml:space="preserve">/2019, DOU </w:t>
      </w:r>
      <w:r w:rsidRPr="0005406E">
        <w:rPr>
          <w:rFonts w:ascii="Calibri" w:hAnsi="Calibri"/>
          <w:color w:val="222222"/>
          <w:sz w:val="22"/>
          <w:szCs w:val="22"/>
        </w:rPr>
        <w:t>10</w:t>
      </w:r>
      <w:r w:rsidR="001A16FB" w:rsidRPr="0005406E">
        <w:rPr>
          <w:rFonts w:ascii="Calibri" w:hAnsi="Calibri"/>
          <w:color w:val="222222"/>
          <w:sz w:val="22"/>
          <w:szCs w:val="22"/>
        </w:rPr>
        <w:t>/0</w:t>
      </w:r>
      <w:r w:rsidRPr="0005406E">
        <w:rPr>
          <w:rFonts w:ascii="Calibri" w:hAnsi="Calibri"/>
          <w:color w:val="222222"/>
          <w:sz w:val="22"/>
          <w:szCs w:val="22"/>
        </w:rPr>
        <w:t>6</w:t>
      </w:r>
      <w:r w:rsidR="001A16FB" w:rsidRPr="0005406E">
        <w:rPr>
          <w:rFonts w:ascii="Calibri" w:hAnsi="Calibri"/>
          <w:color w:val="222222"/>
          <w:sz w:val="22"/>
          <w:szCs w:val="22"/>
        </w:rPr>
        <w:t>/2019).</w:t>
      </w:r>
    </w:p>
    <w:p w:rsidR="001A16FB" w:rsidRDefault="001A16FB" w:rsidP="001A16FB">
      <w:pPr>
        <w:shd w:val="clear" w:color="auto" w:fill="FFFFFF"/>
        <w:spacing w:after="0" w:line="240" w:lineRule="auto"/>
        <w:rPr>
          <w:sz w:val="22"/>
          <w:szCs w:val="22"/>
        </w:rPr>
      </w:pPr>
      <w:r w:rsidRPr="00050FE8">
        <w:rPr>
          <w:sz w:val="22"/>
          <w:szCs w:val="22"/>
        </w:rPr>
        <w:t xml:space="preserve"> </w:t>
      </w:r>
    </w:p>
    <w:bookmarkEnd w:id="0"/>
    <w:p w:rsidR="00064952" w:rsidRPr="00624BD0" w:rsidRDefault="00064952" w:rsidP="00064952">
      <w:pPr>
        <w:shd w:val="clear" w:color="auto" w:fill="FFFFFF"/>
        <w:spacing w:after="0" w:line="240" w:lineRule="auto"/>
        <w:rPr>
          <w:b/>
          <w:sz w:val="48"/>
          <w:szCs w:val="48"/>
        </w:rPr>
      </w:pPr>
    </w:p>
    <w:p w:rsidR="00064952" w:rsidRDefault="00064952" w:rsidP="00064952">
      <w:pPr>
        <w:shd w:val="clear" w:color="auto" w:fill="FFFFFF"/>
        <w:spacing w:after="0" w:line="240" w:lineRule="auto"/>
      </w:pPr>
    </w:p>
    <w:p w:rsidR="005A00FF" w:rsidRDefault="005A00FF" w:rsidP="005A00FF">
      <w:pPr>
        <w:shd w:val="clear" w:color="auto" w:fill="FFFFFF"/>
        <w:spacing w:after="0" w:line="240" w:lineRule="auto"/>
        <w:rPr>
          <w:b/>
          <w:sz w:val="48"/>
          <w:szCs w:val="48"/>
        </w:rPr>
      </w:pPr>
    </w:p>
    <w:p w:rsidR="00A035C5" w:rsidRDefault="00A035C5" w:rsidP="005A00FF">
      <w:pPr>
        <w:shd w:val="clear" w:color="auto" w:fill="FFFFFF"/>
        <w:spacing w:after="0" w:line="240" w:lineRule="auto"/>
        <w:rPr>
          <w:b/>
          <w:sz w:val="48"/>
          <w:szCs w:val="48"/>
        </w:rPr>
      </w:pPr>
    </w:p>
    <w:p w:rsidR="005A00FF" w:rsidRDefault="005A00FF" w:rsidP="005A00FF">
      <w:pPr>
        <w:shd w:val="clear" w:color="auto" w:fill="FFFFFF"/>
        <w:spacing w:after="0" w:line="240" w:lineRule="auto"/>
        <w:rPr>
          <w:b/>
          <w:sz w:val="48"/>
          <w:szCs w:val="48"/>
        </w:rPr>
      </w:pPr>
    </w:p>
    <w:p w:rsidR="00624BD0" w:rsidRDefault="004F777B" w:rsidP="00064952">
      <w:pPr>
        <w:shd w:val="clear" w:color="auto" w:fill="FFFFFF"/>
        <w:spacing w:after="0" w:line="240" w:lineRule="auto"/>
        <w:jc w:val="center"/>
        <w:rPr>
          <w:b/>
          <w:sz w:val="48"/>
          <w:szCs w:val="48"/>
        </w:rPr>
      </w:pPr>
      <w:r w:rsidRPr="00654A76">
        <w:rPr>
          <w:b/>
          <w:sz w:val="48"/>
          <w:szCs w:val="48"/>
        </w:rPr>
        <w:t>ANEXO</w:t>
      </w:r>
    </w:p>
    <w:p w:rsidR="00624BD0" w:rsidRDefault="00624BD0" w:rsidP="00624BD0">
      <w:pPr>
        <w:shd w:val="clear" w:color="auto" w:fill="FFFFFF"/>
        <w:spacing w:after="0" w:line="240" w:lineRule="auto"/>
        <w:rPr>
          <w:b/>
          <w:sz w:val="48"/>
          <w:szCs w:val="48"/>
        </w:rPr>
      </w:pPr>
    </w:p>
    <w:p w:rsidR="0005406E" w:rsidRDefault="0005406E" w:rsidP="00624BD0">
      <w:pPr>
        <w:shd w:val="clear" w:color="auto" w:fill="FFFFFF"/>
        <w:spacing w:after="0" w:line="240" w:lineRule="auto"/>
        <w:jc w:val="center"/>
        <w:rPr>
          <w:b/>
          <w:bCs/>
        </w:rPr>
      </w:pPr>
    </w:p>
    <w:p w:rsidR="0005406E" w:rsidRDefault="0005406E" w:rsidP="00624BD0">
      <w:pPr>
        <w:shd w:val="clear" w:color="auto" w:fill="FFFFFF"/>
        <w:spacing w:after="0" w:line="240" w:lineRule="auto"/>
        <w:jc w:val="center"/>
        <w:rPr>
          <w:b/>
          <w:bCs/>
        </w:rPr>
      </w:pPr>
    </w:p>
    <w:p w:rsidR="0005406E" w:rsidRDefault="0005406E" w:rsidP="00624BD0">
      <w:pPr>
        <w:shd w:val="clear" w:color="auto" w:fill="FFFFFF"/>
        <w:spacing w:after="0" w:line="240" w:lineRule="auto"/>
        <w:jc w:val="center"/>
        <w:rPr>
          <w:b/>
          <w:bCs/>
        </w:rPr>
      </w:pPr>
    </w:p>
    <w:p w:rsidR="00624BD0" w:rsidRPr="00624BD0" w:rsidRDefault="00F8773C" w:rsidP="00624BD0">
      <w:pPr>
        <w:shd w:val="clear" w:color="auto" w:fill="FFFFFF"/>
        <w:spacing w:after="0" w:line="240" w:lineRule="auto"/>
        <w:jc w:val="center"/>
        <w:rPr>
          <w:b/>
          <w:bCs/>
        </w:rPr>
      </w:pPr>
      <w:r w:rsidRPr="00624BD0">
        <w:rPr>
          <w:b/>
          <w:bCs/>
        </w:rPr>
        <w:lastRenderedPageBreak/>
        <w:t xml:space="preserve">PORTARIA </w:t>
      </w:r>
      <w:proofErr w:type="spellStart"/>
      <w:r w:rsidR="00624BD0" w:rsidRPr="00624BD0">
        <w:rPr>
          <w:b/>
          <w:bCs/>
        </w:rPr>
        <w:t>SECINT</w:t>
      </w:r>
      <w:r w:rsidRPr="00624BD0">
        <w:rPr>
          <w:b/>
          <w:bCs/>
        </w:rPr>
        <w:t>Nº</w:t>
      </w:r>
      <w:proofErr w:type="spellEnd"/>
      <w:r w:rsidRPr="00624BD0">
        <w:rPr>
          <w:b/>
          <w:bCs/>
        </w:rPr>
        <w:t xml:space="preserve"> 434, DE 7 DE JUNHO DE 2019 (DOU 10/6/2019)</w:t>
      </w:r>
    </w:p>
    <w:p w:rsidR="00624BD0" w:rsidRDefault="00624BD0" w:rsidP="00624BD0">
      <w:pPr>
        <w:shd w:val="clear" w:color="auto" w:fill="FFFFFF"/>
        <w:spacing w:after="0" w:line="240" w:lineRule="auto"/>
      </w:pPr>
    </w:p>
    <w:p w:rsidR="00624BD0" w:rsidRDefault="00F8773C" w:rsidP="00624BD0">
      <w:pPr>
        <w:shd w:val="clear" w:color="auto" w:fill="FFFFFF"/>
        <w:spacing w:after="0" w:line="240" w:lineRule="auto"/>
      </w:pPr>
      <w:r>
        <w:t xml:space="preserve">Esclarece que canecas de vidro com tampa e canudo removíveis com capacidade para 500 ml, quando originárias da Argentina, China e Indonésia, não estão sujeitas à incidência do direito antidumping instituído pela Resolução CAMEX no 126, de 2016. A SECRETÁRIA ESPECIAL DE COMÉRCIO EXTERIOR E ASSUNTOS INTERNACIONAIS SUBSTITUTA DO MINISTÉRIO DA ECONOMIA, no uso das atribuições que lhe confere o art. 82, inciso V, do Anexo I, do Decreto no 9.745, de 8 de abril de 2019, CONSIDERANDO o que consta do Processo MDIC/SECEX no 52272.002326/2018-11, resolve: </w:t>
      </w:r>
    </w:p>
    <w:p w:rsidR="00624BD0" w:rsidRDefault="00624BD0" w:rsidP="00624BD0">
      <w:pPr>
        <w:shd w:val="clear" w:color="auto" w:fill="FFFFFF"/>
        <w:spacing w:after="0" w:line="240" w:lineRule="auto"/>
      </w:pPr>
    </w:p>
    <w:p w:rsidR="00624BD0" w:rsidRDefault="00F8773C" w:rsidP="00624BD0">
      <w:pPr>
        <w:shd w:val="clear" w:color="auto" w:fill="FFFFFF"/>
        <w:spacing w:after="0" w:line="240" w:lineRule="auto"/>
      </w:pPr>
      <w:r>
        <w:t xml:space="preserve">Art. 1º Fica encerrada a avaliação de escopo e determinado que as importações de canecas de vidro com tampa e canudo removíveis com capacidade para 500 ml não estão sujeitas à aplicação dos direitos antidumping sobre as importações de objetos de vidro para mesa da Argentina, China e Indonésia, instituídos pela Resolução CAMEX no 8, de 28 de fevereiro de 2011, publicada no Diário Oficial da União (D.O.U.) de 1 o de março de 2011, e prorrogados pela Resolução CAMEX no 126, de 22 de dezembro de 2016, publicada no D.O.U. de 23 de dezembro de 2016. </w:t>
      </w:r>
    </w:p>
    <w:p w:rsidR="00624BD0" w:rsidRDefault="00624BD0" w:rsidP="00624BD0">
      <w:pPr>
        <w:shd w:val="clear" w:color="auto" w:fill="FFFFFF"/>
        <w:spacing w:after="0" w:line="240" w:lineRule="auto"/>
      </w:pPr>
    </w:p>
    <w:p w:rsidR="00624BD0" w:rsidRDefault="00F8773C" w:rsidP="00624BD0">
      <w:pPr>
        <w:shd w:val="clear" w:color="auto" w:fill="FFFFFF"/>
        <w:spacing w:after="0" w:line="240" w:lineRule="auto"/>
      </w:pPr>
      <w:r>
        <w:t xml:space="preserve">Art. 2º Tornam-se públicos os fatos que justificaram a decisão, conforme consta do Anexo. Art. 3º Esta Portaria entra em vigor na data de sua publicação. YANA DUMARESQ SOBRAL ALVES </w:t>
      </w:r>
    </w:p>
    <w:p w:rsidR="00624BD0" w:rsidRDefault="00624BD0" w:rsidP="00624BD0">
      <w:pPr>
        <w:shd w:val="clear" w:color="auto" w:fill="FFFFFF"/>
        <w:spacing w:after="0" w:line="240" w:lineRule="auto"/>
      </w:pPr>
    </w:p>
    <w:p w:rsidR="00624BD0" w:rsidRDefault="00624BD0" w:rsidP="00624BD0">
      <w:pPr>
        <w:shd w:val="clear" w:color="auto" w:fill="FFFFFF"/>
        <w:spacing w:after="0" w:line="240" w:lineRule="auto"/>
      </w:pPr>
    </w:p>
    <w:p w:rsidR="00F8773C" w:rsidRDefault="00F8773C" w:rsidP="00624BD0">
      <w:pPr>
        <w:shd w:val="clear" w:color="auto" w:fill="FFFFFF"/>
        <w:spacing w:after="0" w:line="240" w:lineRule="auto"/>
      </w:pPr>
      <w:r>
        <w:t xml:space="preserve">ANEXO 1. DOS ANTECEDENTES Em 29 de outubro de 2009, por meio da Circular SECEX no 58, de 28 de outubro de 2009, foi iniciada investigação de dumping nas exportações para o Brasil de objetos de vidro para mesa, originárias da Argentina, China e Indonésia, usualmente classificadas no item 7013.49.00 da a) US$ 0,18/kg (dezoito centavos de dólar estadunidense por quilograma) para a empresa argentina </w:t>
      </w:r>
      <w:proofErr w:type="spellStart"/>
      <w:r>
        <w:t>Rigolleau</w:t>
      </w:r>
      <w:proofErr w:type="spellEnd"/>
      <w:r>
        <w:t xml:space="preserve"> S.A.; b) US$ 0,37/kg (trinta e sete centavos de dólar estadunidense por quilograma) para os demais produtores argentinos; c) US$ 0,15/kg (quinze centavos de dólar estadunidense por quilograma) para as importações originárias da Indonésia; d) US$ 1,70/kg (um dólar estadunidense e setenta centavos por quilograma) para as importações originárias da China. </w:t>
      </w:r>
    </w:p>
    <w:p w:rsidR="00624BD0" w:rsidRPr="00624BD0" w:rsidRDefault="00624BD0" w:rsidP="00624BD0">
      <w:pPr>
        <w:shd w:val="clear" w:color="auto" w:fill="FFFFFF"/>
        <w:spacing w:after="0" w:line="240" w:lineRule="auto"/>
        <w:rPr>
          <w:b/>
          <w:sz w:val="48"/>
          <w:szCs w:val="48"/>
        </w:rPr>
      </w:pPr>
    </w:p>
    <w:p w:rsidR="00F8773C" w:rsidRDefault="00F8773C" w:rsidP="00F8773C">
      <w:pPr>
        <w:shd w:val="clear" w:color="auto" w:fill="FFFFFF"/>
        <w:spacing w:after="0" w:line="240" w:lineRule="auto"/>
      </w:pPr>
    </w:p>
    <w:p w:rsidR="00624BD0" w:rsidRPr="00064952" w:rsidRDefault="00F8773C" w:rsidP="00064952">
      <w:pPr>
        <w:shd w:val="clear" w:color="auto" w:fill="FFFFFF"/>
        <w:spacing w:after="0" w:line="240" w:lineRule="auto"/>
        <w:jc w:val="center"/>
        <w:rPr>
          <w:b/>
          <w:bCs/>
        </w:rPr>
      </w:pPr>
      <w:r w:rsidRPr="00064952">
        <w:rPr>
          <w:b/>
          <w:bCs/>
        </w:rPr>
        <w:t xml:space="preserve">PORTARIA </w:t>
      </w:r>
      <w:r w:rsidR="00624BD0" w:rsidRPr="00064952">
        <w:rPr>
          <w:b/>
          <w:bCs/>
        </w:rPr>
        <w:t xml:space="preserve">SECINT </w:t>
      </w:r>
      <w:r w:rsidRPr="00064952">
        <w:rPr>
          <w:b/>
          <w:bCs/>
        </w:rPr>
        <w:t xml:space="preserve">Nº 438, DE 7 DE JUNHO DE 2019 </w:t>
      </w:r>
      <w:r w:rsidR="00624BD0" w:rsidRPr="00064952">
        <w:rPr>
          <w:b/>
          <w:bCs/>
        </w:rPr>
        <w:t>(DOU 10/6/2019)</w:t>
      </w:r>
    </w:p>
    <w:p w:rsidR="00624BD0" w:rsidRDefault="00624BD0" w:rsidP="00F8773C">
      <w:pPr>
        <w:shd w:val="clear" w:color="auto" w:fill="FFFFFF"/>
        <w:spacing w:after="0" w:line="240" w:lineRule="auto"/>
        <w:rPr>
          <w:b/>
          <w:bCs/>
        </w:rPr>
      </w:pPr>
    </w:p>
    <w:p w:rsidR="00064952" w:rsidRDefault="00F8773C" w:rsidP="00F8773C">
      <w:pPr>
        <w:shd w:val="clear" w:color="auto" w:fill="FFFFFF"/>
        <w:spacing w:after="0" w:line="240" w:lineRule="auto"/>
      </w:pPr>
      <w:r>
        <w:t xml:space="preserve">Esclarece que </w:t>
      </w:r>
      <w:proofErr w:type="spellStart"/>
      <w:r>
        <w:t>sousplat</w:t>
      </w:r>
      <w:proofErr w:type="spellEnd"/>
      <w:r>
        <w:t xml:space="preserve"> de vidro sodo-cálcico, quando originários da Argentina, China e Indonésia, não estão sujeitos à incidência do direito antidumping instituído pela Resolução CAMEX no 126, de 2016. A SECRETÁRIA ESPECIAL DE COMÉRCIO EXTERIOR E ASSUNTOS INTERNACIONAIS SUBSTITUTA DO MINISTÉRIO DA ECONOMIA, no uso das atribuições que lhe confere o art. 82, inciso V, do Anexo I, do Decreto no 9.745, de 8 de abril de 2019, CONSIDERANDO o que consta do Processo MDIC/SECEX no 52272.002672/2019-71, resolve: </w:t>
      </w:r>
    </w:p>
    <w:p w:rsidR="00064952" w:rsidRDefault="00064952" w:rsidP="00F8773C">
      <w:pPr>
        <w:shd w:val="clear" w:color="auto" w:fill="FFFFFF"/>
        <w:spacing w:after="0" w:line="240" w:lineRule="auto"/>
      </w:pPr>
    </w:p>
    <w:p w:rsidR="00064952" w:rsidRDefault="00F8773C" w:rsidP="00F8773C">
      <w:pPr>
        <w:shd w:val="clear" w:color="auto" w:fill="FFFFFF"/>
        <w:spacing w:after="0" w:line="240" w:lineRule="auto"/>
      </w:pPr>
      <w:r>
        <w:t xml:space="preserve">Art. 1º Fica encerrada a avaliação de escopo e determinado que as importações de </w:t>
      </w:r>
      <w:proofErr w:type="spellStart"/>
      <w:r>
        <w:t>sousplat</w:t>
      </w:r>
      <w:proofErr w:type="spellEnd"/>
      <w:r>
        <w:t xml:space="preserve"> de vidro sodo-cálcico não estão sujeitas à aplicação dos direitos antidumping sobre as importações de objetos de vidro para mesa da Argentina, China e Indonésia, instituídos pela Resolução CAMEX no 8, de 28 de fevereiro de 2011, publicada no Diário Oficial da União (D.O.U.) de 1o de março de 2011, e prorrogados pela Resolução CAMEX no 126, de 22 de dezembro de 2016, publicada no D.O.U. de 23 de dezembro de 2016. </w:t>
      </w:r>
    </w:p>
    <w:p w:rsidR="00064952" w:rsidRDefault="00064952" w:rsidP="00F8773C">
      <w:pPr>
        <w:shd w:val="clear" w:color="auto" w:fill="FFFFFF"/>
        <w:spacing w:after="0" w:line="240" w:lineRule="auto"/>
      </w:pPr>
    </w:p>
    <w:p w:rsidR="00064952" w:rsidRDefault="00F8773C" w:rsidP="00F8773C">
      <w:pPr>
        <w:shd w:val="clear" w:color="auto" w:fill="FFFFFF"/>
        <w:spacing w:after="0" w:line="240" w:lineRule="auto"/>
      </w:pPr>
      <w:r>
        <w:t xml:space="preserve">Art. 2º Tornam-se públicos os fatos que justificaram a decisão, conforme consta do Anexo. </w:t>
      </w:r>
    </w:p>
    <w:p w:rsidR="00064952" w:rsidRDefault="00064952" w:rsidP="00F8773C">
      <w:pPr>
        <w:shd w:val="clear" w:color="auto" w:fill="FFFFFF"/>
        <w:spacing w:after="0" w:line="240" w:lineRule="auto"/>
      </w:pPr>
    </w:p>
    <w:p w:rsidR="00F8773C" w:rsidRDefault="00F8773C" w:rsidP="00F8773C">
      <w:pPr>
        <w:shd w:val="clear" w:color="auto" w:fill="FFFFFF"/>
        <w:spacing w:after="0" w:line="240" w:lineRule="auto"/>
      </w:pPr>
      <w:r>
        <w:t>Art. 3º Esta Portaria entra em vigor na data de sua publicação. YANA DUMARESQ SOBRAL ALVES</w:t>
      </w:r>
    </w:p>
    <w:p w:rsidR="00064952" w:rsidRDefault="00064952" w:rsidP="00F8773C">
      <w:pPr>
        <w:shd w:val="clear" w:color="auto" w:fill="FFFFFF"/>
        <w:spacing w:after="0" w:line="240" w:lineRule="auto"/>
      </w:pPr>
    </w:p>
    <w:p w:rsidR="00064952" w:rsidRDefault="00064952" w:rsidP="00F8773C">
      <w:pPr>
        <w:shd w:val="clear" w:color="auto" w:fill="FFFFFF"/>
        <w:spacing w:after="0" w:line="240" w:lineRule="auto"/>
      </w:pPr>
      <w:bookmarkStart w:id="1" w:name="_GoBack"/>
      <w:bookmarkEnd w:id="1"/>
    </w:p>
    <w:sectPr w:rsidR="00064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0FE8"/>
    <w:rsid w:val="00051C64"/>
    <w:rsid w:val="0005406E"/>
    <w:rsid w:val="00055A7A"/>
    <w:rsid w:val="00056318"/>
    <w:rsid w:val="00057189"/>
    <w:rsid w:val="0006113C"/>
    <w:rsid w:val="000612AA"/>
    <w:rsid w:val="00062AF3"/>
    <w:rsid w:val="00064952"/>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3531"/>
    <w:rsid w:val="000E4697"/>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3EF2"/>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6FB"/>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D84"/>
    <w:rsid w:val="0027465C"/>
    <w:rsid w:val="00281BC9"/>
    <w:rsid w:val="0028285B"/>
    <w:rsid w:val="0028380A"/>
    <w:rsid w:val="00284274"/>
    <w:rsid w:val="00287275"/>
    <w:rsid w:val="00291EE6"/>
    <w:rsid w:val="00292FEE"/>
    <w:rsid w:val="00293FE3"/>
    <w:rsid w:val="00294F5D"/>
    <w:rsid w:val="0029546B"/>
    <w:rsid w:val="0029677A"/>
    <w:rsid w:val="0029691F"/>
    <w:rsid w:val="002979EA"/>
    <w:rsid w:val="00297A9B"/>
    <w:rsid w:val="00297D57"/>
    <w:rsid w:val="002A08EF"/>
    <w:rsid w:val="002A10E6"/>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D1078"/>
    <w:rsid w:val="002D3913"/>
    <w:rsid w:val="002D5F13"/>
    <w:rsid w:val="002D64FD"/>
    <w:rsid w:val="002D67F8"/>
    <w:rsid w:val="002D6A1E"/>
    <w:rsid w:val="002D6EFF"/>
    <w:rsid w:val="002D70A2"/>
    <w:rsid w:val="002E5E81"/>
    <w:rsid w:val="002E62A3"/>
    <w:rsid w:val="002E689B"/>
    <w:rsid w:val="002E7552"/>
    <w:rsid w:val="002F2554"/>
    <w:rsid w:val="002F2EEC"/>
    <w:rsid w:val="002F34E6"/>
    <w:rsid w:val="002F4D92"/>
    <w:rsid w:val="002F67A4"/>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64BD"/>
    <w:rsid w:val="00341C78"/>
    <w:rsid w:val="00342EC6"/>
    <w:rsid w:val="00343399"/>
    <w:rsid w:val="00345D97"/>
    <w:rsid w:val="00350FC6"/>
    <w:rsid w:val="003512CC"/>
    <w:rsid w:val="00353108"/>
    <w:rsid w:val="00355033"/>
    <w:rsid w:val="003576F9"/>
    <w:rsid w:val="00357753"/>
    <w:rsid w:val="00361559"/>
    <w:rsid w:val="00361882"/>
    <w:rsid w:val="00362499"/>
    <w:rsid w:val="003626D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37C96"/>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04C0"/>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BCE"/>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0B9D"/>
    <w:rsid w:val="00592241"/>
    <w:rsid w:val="0059294C"/>
    <w:rsid w:val="0059441E"/>
    <w:rsid w:val="0059649D"/>
    <w:rsid w:val="005968CE"/>
    <w:rsid w:val="005A00FF"/>
    <w:rsid w:val="005A2668"/>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1AD"/>
    <w:rsid w:val="005F5B33"/>
    <w:rsid w:val="005F617A"/>
    <w:rsid w:val="005F6F18"/>
    <w:rsid w:val="005F6F72"/>
    <w:rsid w:val="005F7A4E"/>
    <w:rsid w:val="0060225E"/>
    <w:rsid w:val="006026C9"/>
    <w:rsid w:val="00602FAF"/>
    <w:rsid w:val="00604584"/>
    <w:rsid w:val="0060494A"/>
    <w:rsid w:val="00604FF1"/>
    <w:rsid w:val="0060544E"/>
    <w:rsid w:val="00605E31"/>
    <w:rsid w:val="0060649A"/>
    <w:rsid w:val="0061153A"/>
    <w:rsid w:val="00611757"/>
    <w:rsid w:val="00611D98"/>
    <w:rsid w:val="00615124"/>
    <w:rsid w:val="00615328"/>
    <w:rsid w:val="006172C0"/>
    <w:rsid w:val="00620225"/>
    <w:rsid w:val="006214CA"/>
    <w:rsid w:val="00624BD0"/>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38DD"/>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072"/>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D7DB7"/>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576"/>
    <w:rsid w:val="00905EB0"/>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F10"/>
    <w:rsid w:val="009F3B76"/>
    <w:rsid w:val="009F5B1F"/>
    <w:rsid w:val="009F721D"/>
    <w:rsid w:val="00A00727"/>
    <w:rsid w:val="00A01BA0"/>
    <w:rsid w:val="00A035C5"/>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645"/>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4730"/>
    <w:rsid w:val="00B94D6C"/>
    <w:rsid w:val="00B95CA2"/>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4CC"/>
    <w:rsid w:val="00BF6C5B"/>
    <w:rsid w:val="00BF73EE"/>
    <w:rsid w:val="00C00018"/>
    <w:rsid w:val="00C003E4"/>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B7244"/>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3B9E"/>
    <w:rsid w:val="00DE4CDA"/>
    <w:rsid w:val="00DE54BE"/>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29D9"/>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73C"/>
    <w:rsid w:val="00F87D63"/>
    <w:rsid w:val="00F91533"/>
    <w:rsid w:val="00F93557"/>
    <w:rsid w:val="00F93CC2"/>
    <w:rsid w:val="00F94307"/>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3BB"/>
    <w:rsid w:val="00FD4F63"/>
    <w:rsid w:val="00FD5CF4"/>
    <w:rsid w:val="00FE040C"/>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AD0C"/>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745</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6</cp:revision>
  <dcterms:created xsi:type="dcterms:W3CDTF">2019-06-14T18:30:00Z</dcterms:created>
  <dcterms:modified xsi:type="dcterms:W3CDTF">2019-06-17T18:24:00Z</dcterms:modified>
</cp:coreProperties>
</file>