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DE54BE">
        <w:rPr>
          <w:b/>
          <w:sz w:val="24"/>
          <w:szCs w:val="24"/>
        </w:rPr>
        <w:t>10</w:t>
      </w:r>
      <w:r w:rsidR="00A52707" w:rsidRPr="00F61C36">
        <w:rPr>
          <w:b/>
          <w:sz w:val="24"/>
          <w:szCs w:val="24"/>
        </w:rPr>
        <w:t>/201</w:t>
      </w:r>
      <w:r w:rsidR="008A1226">
        <w:rPr>
          <w:b/>
          <w:sz w:val="24"/>
          <w:szCs w:val="24"/>
        </w:rPr>
        <w:t>9</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1A16FB" w:rsidRDefault="001A16FB" w:rsidP="00A0419E">
      <w:pPr>
        <w:rPr>
          <w:sz w:val="24"/>
          <w:szCs w:val="24"/>
        </w:rPr>
      </w:pPr>
    </w:p>
    <w:p w:rsidR="00DB7244" w:rsidRPr="00E0344C" w:rsidRDefault="00DB7244" w:rsidP="00E0344C">
      <w:pPr>
        <w:shd w:val="clear" w:color="auto" w:fill="FFFFFF"/>
        <w:tabs>
          <w:tab w:val="left" w:pos="709"/>
        </w:tabs>
        <w:spacing w:after="0" w:line="240" w:lineRule="auto"/>
        <w:rPr>
          <w:sz w:val="22"/>
          <w:szCs w:val="22"/>
        </w:rPr>
      </w:pPr>
      <w:r w:rsidRPr="00E0344C">
        <w:rPr>
          <w:b/>
          <w:color w:val="FF0000"/>
          <w:sz w:val="22"/>
          <w:szCs w:val="22"/>
        </w:rPr>
        <w:t>ENCERRAMENTO DO PRAZO DE VIGÊNCIA DE MEDIDAS</w:t>
      </w:r>
      <w:r w:rsidRPr="00E0344C">
        <w:rPr>
          <w:rFonts w:eastAsia="Times New Roman" w:cs="Arial"/>
          <w:b/>
          <w:color w:val="FF0000"/>
          <w:sz w:val="22"/>
          <w:szCs w:val="22"/>
          <w:lang w:eastAsia="pt-BR"/>
        </w:rPr>
        <w:t> DE DEFESA COMERCIAL</w:t>
      </w:r>
      <w:r w:rsidRPr="00E0344C">
        <w:rPr>
          <w:rFonts w:eastAsia="Times New Roman" w:cs="Arial"/>
          <w:b/>
          <w:color w:val="222222"/>
          <w:sz w:val="22"/>
          <w:szCs w:val="22"/>
          <w:lang w:eastAsia="pt-BR"/>
        </w:rPr>
        <w:t xml:space="preserve"> </w:t>
      </w:r>
      <w:r w:rsidRPr="00E0344C">
        <w:rPr>
          <w:rFonts w:eastAsia="Times New Roman" w:cs="Arial"/>
          <w:color w:val="222222"/>
          <w:sz w:val="22"/>
          <w:szCs w:val="22"/>
          <w:lang w:eastAsia="pt-BR"/>
        </w:rPr>
        <w:t>– A SECEX divulgou, conforme tabela abaixo, o término do prazo de vigência de várias medidas de defesa comercial, de modo a que os eventuais interessados na extensão da medida ou aqueles que sejam contrários possam se manifestar. Lembrando que o</w:t>
      </w:r>
      <w:r w:rsidRPr="00E0344C">
        <w:rPr>
          <w:sz w:val="22"/>
          <w:szCs w:val="22"/>
        </w:rPr>
        <w:t xml:space="preserve">s produtores nacionais que desejarem prosseguir com o direito deverão iniciar revisão e protocolá-la até quatro meses antes da data do término da vigência do direito antidumping. </w:t>
      </w:r>
      <w:r w:rsidRPr="00E0344C">
        <w:rPr>
          <w:rFonts w:eastAsia="Times New Roman" w:cs="Arial"/>
          <w:color w:val="222222"/>
          <w:sz w:val="22"/>
          <w:szCs w:val="22"/>
          <w:lang w:eastAsia="pt-BR"/>
        </w:rPr>
        <w:t>Veja os produtos abaixo</w:t>
      </w:r>
      <w:r w:rsidRPr="00E0344C">
        <w:rPr>
          <w:sz w:val="22"/>
          <w:szCs w:val="22"/>
        </w:rPr>
        <w:t xml:space="preserve"> (Circular Secex nº </w:t>
      </w:r>
      <w:r w:rsidRPr="00E0344C">
        <w:rPr>
          <w:sz w:val="22"/>
          <w:szCs w:val="22"/>
        </w:rPr>
        <w:t>3</w:t>
      </w:r>
      <w:r w:rsidRPr="00E0344C">
        <w:rPr>
          <w:sz w:val="22"/>
          <w:szCs w:val="22"/>
        </w:rPr>
        <w:t xml:space="preserve">4, de </w:t>
      </w:r>
      <w:r w:rsidRPr="00E0344C">
        <w:rPr>
          <w:sz w:val="22"/>
          <w:szCs w:val="22"/>
        </w:rPr>
        <w:t>27</w:t>
      </w:r>
      <w:r w:rsidRPr="00E0344C">
        <w:rPr>
          <w:sz w:val="22"/>
          <w:szCs w:val="22"/>
        </w:rPr>
        <w:t>/</w:t>
      </w:r>
      <w:r w:rsidRPr="00E0344C">
        <w:rPr>
          <w:sz w:val="22"/>
          <w:szCs w:val="22"/>
        </w:rPr>
        <w:t>5</w:t>
      </w:r>
      <w:r w:rsidRPr="00E0344C">
        <w:rPr>
          <w:sz w:val="22"/>
          <w:szCs w:val="22"/>
        </w:rPr>
        <w:t>/201</w:t>
      </w:r>
      <w:r w:rsidRPr="00E0344C">
        <w:rPr>
          <w:sz w:val="22"/>
          <w:szCs w:val="22"/>
        </w:rPr>
        <w:t>9</w:t>
      </w:r>
      <w:r w:rsidRPr="00E0344C">
        <w:rPr>
          <w:sz w:val="22"/>
          <w:szCs w:val="22"/>
        </w:rPr>
        <w:t xml:space="preserve">, DOU </w:t>
      </w:r>
      <w:r w:rsidRPr="00E0344C">
        <w:rPr>
          <w:sz w:val="22"/>
          <w:szCs w:val="22"/>
        </w:rPr>
        <w:t>28</w:t>
      </w:r>
      <w:r w:rsidRPr="00E0344C">
        <w:rPr>
          <w:sz w:val="22"/>
          <w:szCs w:val="22"/>
        </w:rPr>
        <w:t>/</w:t>
      </w:r>
      <w:r w:rsidRPr="00E0344C">
        <w:rPr>
          <w:sz w:val="22"/>
          <w:szCs w:val="22"/>
        </w:rPr>
        <w:t>5</w:t>
      </w:r>
      <w:r w:rsidRPr="00E0344C">
        <w:rPr>
          <w:sz w:val="22"/>
          <w:szCs w:val="22"/>
        </w:rPr>
        <w:t>/201</w:t>
      </w:r>
      <w:r w:rsidRPr="00E0344C">
        <w:rPr>
          <w:sz w:val="22"/>
          <w:szCs w:val="22"/>
        </w:rPr>
        <w:t>9</w:t>
      </w:r>
      <w:r w:rsidRPr="00E0344C">
        <w:rPr>
          <w:sz w:val="22"/>
          <w:szCs w:val="22"/>
        </w:rPr>
        <w:t>)</w:t>
      </w:r>
    </w:p>
    <w:p w:rsidR="00DB7244" w:rsidRDefault="00DB7244" w:rsidP="00DB7244">
      <w:pPr>
        <w:shd w:val="clear" w:color="auto" w:fill="FFFFFF"/>
        <w:spacing w:after="0" w:line="240" w:lineRule="auto"/>
        <w:textAlignment w:val="baseline"/>
        <w:rPr>
          <w:rFonts w:eastAsia="Times New Roman" w:cs="Arial"/>
          <w:color w:val="222222"/>
          <w:sz w:val="22"/>
          <w:szCs w:val="22"/>
          <w:lang w:eastAsia="pt-BR"/>
        </w:rPr>
      </w:pPr>
    </w:p>
    <w:tbl>
      <w:tblPr>
        <w:tblStyle w:val="Tabelacomgrade"/>
        <w:tblW w:w="0" w:type="auto"/>
        <w:tblLook w:val="04A0" w:firstRow="1" w:lastRow="0" w:firstColumn="1" w:lastColumn="0" w:noHBand="0" w:noVBand="1"/>
      </w:tblPr>
      <w:tblGrid>
        <w:gridCol w:w="1260"/>
        <w:gridCol w:w="1151"/>
        <w:gridCol w:w="3943"/>
        <w:gridCol w:w="1328"/>
        <w:gridCol w:w="812"/>
      </w:tblGrid>
      <w:tr w:rsidR="008238DD" w:rsidTr="00571AB7">
        <w:tc>
          <w:tcPr>
            <w:tcW w:w="0" w:type="auto"/>
          </w:tcPr>
          <w:p w:rsidR="00DB7244" w:rsidRDefault="00DB7244" w:rsidP="00571AB7">
            <w:pPr>
              <w:textAlignment w:val="baseline"/>
              <w:rPr>
                <w:rFonts w:eastAsia="Times New Roman" w:cs="Arial"/>
                <w:color w:val="222222"/>
                <w:sz w:val="22"/>
                <w:szCs w:val="22"/>
                <w:lang w:eastAsia="pt-BR"/>
              </w:rPr>
            </w:pPr>
            <w:r>
              <w:rPr>
                <w:rFonts w:eastAsia="Times New Roman" w:cs="Arial"/>
                <w:color w:val="222222"/>
                <w:sz w:val="22"/>
                <w:szCs w:val="22"/>
                <w:lang w:eastAsia="pt-BR"/>
              </w:rPr>
              <w:t>RES.CAMEX</w:t>
            </w:r>
          </w:p>
        </w:tc>
        <w:tc>
          <w:tcPr>
            <w:tcW w:w="1151" w:type="dxa"/>
          </w:tcPr>
          <w:p w:rsidR="00DB7244" w:rsidRDefault="00DB7244" w:rsidP="00571AB7">
            <w:pPr>
              <w:textAlignment w:val="baseline"/>
              <w:rPr>
                <w:rFonts w:eastAsia="Times New Roman" w:cs="Arial"/>
                <w:color w:val="222222"/>
                <w:sz w:val="22"/>
                <w:szCs w:val="22"/>
                <w:lang w:eastAsia="pt-BR"/>
              </w:rPr>
            </w:pPr>
            <w:r>
              <w:rPr>
                <w:rFonts w:eastAsia="Times New Roman" w:cs="Arial"/>
                <w:color w:val="222222"/>
                <w:sz w:val="22"/>
                <w:szCs w:val="22"/>
                <w:lang w:eastAsia="pt-BR"/>
              </w:rPr>
              <w:t>NCM</w:t>
            </w:r>
          </w:p>
        </w:tc>
        <w:tc>
          <w:tcPr>
            <w:tcW w:w="3943" w:type="dxa"/>
          </w:tcPr>
          <w:p w:rsidR="00DB7244" w:rsidRDefault="00DB7244" w:rsidP="00571AB7">
            <w:pPr>
              <w:textAlignment w:val="baseline"/>
              <w:rPr>
                <w:rFonts w:eastAsia="Times New Roman" w:cs="Arial"/>
                <w:color w:val="222222"/>
                <w:sz w:val="22"/>
                <w:szCs w:val="22"/>
                <w:lang w:eastAsia="pt-BR"/>
              </w:rPr>
            </w:pPr>
            <w:r>
              <w:rPr>
                <w:rFonts w:eastAsia="Times New Roman" w:cs="Arial"/>
                <w:color w:val="222222"/>
                <w:sz w:val="22"/>
                <w:szCs w:val="22"/>
                <w:lang w:eastAsia="pt-BR"/>
              </w:rPr>
              <w:t>PRODUTO</w:t>
            </w:r>
          </w:p>
        </w:tc>
        <w:tc>
          <w:tcPr>
            <w:tcW w:w="0" w:type="auto"/>
          </w:tcPr>
          <w:p w:rsidR="00DB7244" w:rsidRDefault="00DB7244" w:rsidP="00571AB7">
            <w:pPr>
              <w:textAlignment w:val="baseline"/>
              <w:rPr>
                <w:rFonts w:eastAsia="Times New Roman" w:cs="Arial"/>
                <w:color w:val="222222"/>
                <w:sz w:val="22"/>
                <w:szCs w:val="22"/>
                <w:lang w:eastAsia="pt-BR"/>
              </w:rPr>
            </w:pPr>
            <w:r>
              <w:rPr>
                <w:rFonts w:eastAsia="Times New Roman" w:cs="Arial"/>
                <w:color w:val="222222"/>
                <w:sz w:val="22"/>
                <w:szCs w:val="22"/>
                <w:lang w:eastAsia="pt-BR"/>
              </w:rPr>
              <w:t>PAIS</w:t>
            </w:r>
          </w:p>
        </w:tc>
        <w:tc>
          <w:tcPr>
            <w:tcW w:w="0" w:type="auto"/>
          </w:tcPr>
          <w:p w:rsidR="00DB7244" w:rsidRDefault="00DB7244" w:rsidP="00571AB7">
            <w:pPr>
              <w:textAlignment w:val="baseline"/>
              <w:rPr>
                <w:rFonts w:eastAsia="Times New Roman" w:cs="Arial"/>
                <w:color w:val="222222"/>
                <w:sz w:val="22"/>
                <w:szCs w:val="22"/>
                <w:lang w:eastAsia="pt-BR"/>
              </w:rPr>
            </w:pPr>
            <w:r>
              <w:rPr>
                <w:rFonts w:eastAsia="Times New Roman" w:cs="Arial"/>
                <w:color w:val="222222"/>
                <w:sz w:val="22"/>
                <w:szCs w:val="22"/>
                <w:lang w:eastAsia="pt-BR"/>
              </w:rPr>
              <w:t>DATA</w:t>
            </w:r>
          </w:p>
        </w:tc>
      </w:tr>
      <w:tr w:rsidR="008238DD" w:rsidTr="00571AB7">
        <w:tc>
          <w:tcPr>
            <w:tcW w:w="0" w:type="auto"/>
          </w:tcPr>
          <w:p w:rsidR="00DB7244" w:rsidRPr="00CE12F7" w:rsidRDefault="00DB7244"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4</w:t>
            </w:r>
            <w:r w:rsidRPr="00CE12F7">
              <w:rPr>
                <w:rFonts w:eastAsia="Times New Roman" w:cs="Arial"/>
                <w:color w:val="222222"/>
                <w:sz w:val="18"/>
                <w:szCs w:val="18"/>
                <w:lang w:eastAsia="pt-BR"/>
              </w:rPr>
              <w:t xml:space="preserve">, de </w:t>
            </w:r>
            <w:r>
              <w:rPr>
                <w:rFonts w:eastAsia="Times New Roman" w:cs="Arial"/>
                <w:color w:val="222222"/>
                <w:sz w:val="18"/>
                <w:szCs w:val="18"/>
                <w:lang w:eastAsia="pt-BR"/>
              </w:rPr>
              <w:t>28</w:t>
            </w:r>
            <w:r w:rsidRPr="00CE12F7">
              <w:rPr>
                <w:rFonts w:eastAsia="Times New Roman" w:cs="Arial"/>
                <w:color w:val="222222"/>
                <w:sz w:val="18"/>
                <w:szCs w:val="18"/>
                <w:lang w:eastAsia="pt-BR"/>
              </w:rPr>
              <w:t>/1/1</w:t>
            </w:r>
            <w:r>
              <w:rPr>
                <w:rFonts w:eastAsia="Times New Roman" w:cs="Arial"/>
                <w:color w:val="222222"/>
                <w:sz w:val="18"/>
                <w:szCs w:val="18"/>
                <w:lang w:eastAsia="pt-BR"/>
              </w:rPr>
              <w:t>5</w:t>
            </w:r>
          </w:p>
        </w:tc>
        <w:tc>
          <w:tcPr>
            <w:tcW w:w="1151" w:type="dxa"/>
          </w:tcPr>
          <w:p w:rsidR="00DB7244" w:rsidRPr="00CE12F7" w:rsidRDefault="00DB7244"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721</w:t>
            </w:r>
            <w:r w:rsidR="00E0344C">
              <w:rPr>
                <w:rFonts w:eastAsia="Times New Roman" w:cs="Arial"/>
                <w:color w:val="222222"/>
                <w:sz w:val="18"/>
                <w:szCs w:val="18"/>
                <w:lang w:eastAsia="pt-BR"/>
              </w:rPr>
              <w:t>7</w:t>
            </w:r>
            <w:r>
              <w:rPr>
                <w:rFonts w:eastAsia="Times New Roman" w:cs="Arial"/>
                <w:color w:val="222222"/>
                <w:sz w:val="18"/>
                <w:szCs w:val="18"/>
                <w:lang w:eastAsia="pt-BR"/>
              </w:rPr>
              <w:t>.20.10</w:t>
            </w:r>
            <w:r w:rsidR="00E0344C">
              <w:rPr>
                <w:rFonts w:eastAsia="Times New Roman" w:cs="Arial"/>
                <w:color w:val="222222"/>
                <w:sz w:val="18"/>
                <w:szCs w:val="18"/>
                <w:lang w:eastAsia="pt-BR"/>
              </w:rPr>
              <w:t xml:space="preserve"> 7217.20.90</w:t>
            </w:r>
          </w:p>
        </w:tc>
        <w:tc>
          <w:tcPr>
            <w:tcW w:w="3943" w:type="dxa"/>
          </w:tcPr>
          <w:p w:rsidR="00DB7244" w:rsidRPr="00E0344C" w:rsidRDefault="00E0344C" w:rsidP="00571AB7">
            <w:pPr>
              <w:textAlignment w:val="baseline"/>
              <w:rPr>
                <w:rFonts w:eastAsia="Times New Roman" w:cs="Arial"/>
                <w:color w:val="222222"/>
                <w:sz w:val="18"/>
                <w:szCs w:val="18"/>
                <w:lang w:eastAsia="pt-BR"/>
              </w:rPr>
            </w:pPr>
            <w:r>
              <w:rPr>
                <w:sz w:val="18"/>
                <w:szCs w:val="18"/>
              </w:rPr>
              <w:t>A</w:t>
            </w:r>
            <w:r w:rsidRPr="00E0344C">
              <w:rPr>
                <w:sz w:val="18"/>
                <w:szCs w:val="18"/>
              </w:rPr>
              <w:t>rames de aço galvanizados com diâmetro de 1,70 a 3,50 mm, revestidos de camada de zinco com gramatura de 20 a 70 g/m² e resistência à tração de 80 a 140 kgf/mm²</w:t>
            </w:r>
          </w:p>
        </w:tc>
        <w:tc>
          <w:tcPr>
            <w:tcW w:w="0" w:type="auto"/>
          </w:tcPr>
          <w:p w:rsidR="00DB7244" w:rsidRPr="00CE12F7"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Suécia</w:t>
            </w:r>
          </w:p>
        </w:tc>
        <w:tc>
          <w:tcPr>
            <w:tcW w:w="0" w:type="auto"/>
          </w:tcPr>
          <w:p w:rsidR="00DB7244" w:rsidRPr="00CE12F7"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30</w:t>
            </w:r>
            <w:r w:rsidR="00DB7244" w:rsidRPr="00CE12F7">
              <w:rPr>
                <w:rFonts w:eastAsia="Times New Roman" w:cs="Arial"/>
                <w:color w:val="222222"/>
                <w:sz w:val="18"/>
                <w:szCs w:val="18"/>
                <w:lang w:eastAsia="pt-BR"/>
              </w:rPr>
              <w:t>/1/</w:t>
            </w:r>
            <w:r>
              <w:rPr>
                <w:rFonts w:eastAsia="Times New Roman" w:cs="Arial"/>
                <w:color w:val="222222"/>
                <w:sz w:val="18"/>
                <w:szCs w:val="18"/>
                <w:lang w:eastAsia="pt-BR"/>
              </w:rPr>
              <w:t>20</w:t>
            </w:r>
          </w:p>
        </w:tc>
      </w:tr>
      <w:tr w:rsidR="008238DD" w:rsidTr="00571AB7">
        <w:tc>
          <w:tcPr>
            <w:tcW w:w="0" w:type="auto"/>
          </w:tcPr>
          <w:p w:rsidR="00DB7244" w:rsidRPr="00CE12F7"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5</w:t>
            </w:r>
            <w:r w:rsidR="00DB7244" w:rsidRPr="00CE12F7">
              <w:rPr>
                <w:rFonts w:eastAsia="Times New Roman" w:cs="Arial"/>
                <w:color w:val="222222"/>
                <w:sz w:val="18"/>
                <w:szCs w:val="18"/>
                <w:lang w:eastAsia="pt-BR"/>
              </w:rPr>
              <w:t xml:space="preserve">, de </w:t>
            </w:r>
            <w:r>
              <w:rPr>
                <w:rFonts w:eastAsia="Times New Roman" w:cs="Arial"/>
                <w:color w:val="222222"/>
                <w:sz w:val="18"/>
                <w:szCs w:val="18"/>
                <w:lang w:eastAsia="pt-BR"/>
              </w:rPr>
              <w:t>28</w:t>
            </w:r>
            <w:r w:rsidR="00DB7244" w:rsidRPr="00CE12F7">
              <w:rPr>
                <w:rFonts w:eastAsia="Times New Roman" w:cs="Arial"/>
                <w:color w:val="222222"/>
                <w:sz w:val="18"/>
                <w:szCs w:val="18"/>
                <w:lang w:eastAsia="pt-BR"/>
              </w:rPr>
              <w:t>/1/1</w:t>
            </w:r>
            <w:r>
              <w:rPr>
                <w:rFonts w:eastAsia="Times New Roman" w:cs="Arial"/>
                <w:color w:val="222222"/>
                <w:sz w:val="18"/>
                <w:szCs w:val="18"/>
                <w:lang w:eastAsia="pt-BR"/>
              </w:rPr>
              <w:t>5</w:t>
            </w:r>
          </w:p>
        </w:tc>
        <w:tc>
          <w:tcPr>
            <w:tcW w:w="1151" w:type="dxa"/>
          </w:tcPr>
          <w:p w:rsidR="00DB7244" w:rsidRDefault="00E0344C" w:rsidP="00571AB7">
            <w:pPr>
              <w:textAlignment w:val="baseline"/>
              <w:rPr>
                <w:sz w:val="18"/>
                <w:szCs w:val="18"/>
              </w:rPr>
            </w:pPr>
            <w:r>
              <w:rPr>
                <w:sz w:val="18"/>
                <w:szCs w:val="18"/>
              </w:rPr>
              <w:t>8545.11.00</w:t>
            </w:r>
          </w:p>
          <w:p w:rsidR="00E0344C" w:rsidRPr="00CE12F7" w:rsidRDefault="00E0344C" w:rsidP="00571AB7">
            <w:pPr>
              <w:textAlignment w:val="baseline"/>
              <w:rPr>
                <w:rFonts w:eastAsia="Times New Roman" w:cs="Arial"/>
                <w:color w:val="222222"/>
                <w:sz w:val="18"/>
                <w:szCs w:val="18"/>
                <w:lang w:eastAsia="pt-BR"/>
              </w:rPr>
            </w:pPr>
            <w:r>
              <w:rPr>
                <w:sz w:val="18"/>
                <w:szCs w:val="18"/>
              </w:rPr>
              <w:t>3801.10.00</w:t>
            </w:r>
          </w:p>
        </w:tc>
        <w:tc>
          <w:tcPr>
            <w:tcW w:w="3943" w:type="dxa"/>
          </w:tcPr>
          <w:p w:rsidR="00DB7244" w:rsidRPr="00E0344C" w:rsidRDefault="00E0344C" w:rsidP="00571AB7">
            <w:pPr>
              <w:textAlignment w:val="baseline"/>
              <w:rPr>
                <w:rFonts w:eastAsia="Times New Roman" w:cs="Arial"/>
                <w:color w:val="222222"/>
                <w:sz w:val="18"/>
                <w:szCs w:val="18"/>
                <w:lang w:eastAsia="pt-BR"/>
              </w:rPr>
            </w:pPr>
            <w:r w:rsidRPr="00E0344C">
              <w:rPr>
                <w:sz w:val="18"/>
                <w:szCs w:val="18"/>
              </w:rPr>
              <w:t>eletrodos de grafite menores, com diâmetro de até 450mm (18 polegadas), de qualquer comprimento, usinados ou não usinados, montados ou desmontados, dos tipos utilizados em fornos elétricos</w:t>
            </w:r>
          </w:p>
        </w:tc>
        <w:tc>
          <w:tcPr>
            <w:tcW w:w="0" w:type="auto"/>
          </w:tcPr>
          <w:p w:rsidR="00DB7244" w:rsidRPr="00CE12F7" w:rsidRDefault="00DB7244" w:rsidP="00571AB7">
            <w:pPr>
              <w:textAlignment w:val="baseline"/>
              <w:rPr>
                <w:rFonts w:eastAsia="Times New Roman" w:cs="Arial"/>
                <w:color w:val="222222"/>
                <w:sz w:val="18"/>
                <w:szCs w:val="18"/>
                <w:lang w:eastAsia="pt-BR"/>
              </w:rPr>
            </w:pPr>
            <w:r w:rsidRPr="00CE12F7">
              <w:rPr>
                <w:rFonts w:eastAsia="Times New Roman" w:cs="Arial"/>
                <w:color w:val="222222"/>
                <w:sz w:val="18"/>
                <w:szCs w:val="18"/>
                <w:lang w:eastAsia="pt-BR"/>
              </w:rPr>
              <w:t>China</w:t>
            </w:r>
          </w:p>
        </w:tc>
        <w:tc>
          <w:tcPr>
            <w:tcW w:w="0" w:type="auto"/>
          </w:tcPr>
          <w:p w:rsidR="00DB7244" w:rsidRPr="00CE12F7"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30</w:t>
            </w:r>
            <w:r w:rsidR="00DB7244" w:rsidRPr="00CE12F7">
              <w:rPr>
                <w:rFonts w:eastAsia="Times New Roman" w:cs="Arial"/>
                <w:color w:val="222222"/>
                <w:sz w:val="18"/>
                <w:szCs w:val="18"/>
                <w:lang w:eastAsia="pt-BR"/>
              </w:rPr>
              <w:t>/1/</w:t>
            </w:r>
            <w:r>
              <w:rPr>
                <w:rFonts w:eastAsia="Times New Roman" w:cs="Arial"/>
                <w:color w:val="222222"/>
                <w:sz w:val="18"/>
                <w:szCs w:val="18"/>
                <w:lang w:eastAsia="pt-BR"/>
              </w:rPr>
              <w:t>20</w:t>
            </w:r>
          </w:p>
        </w:tc>
      </w:tr>
      <w:tr w:rsidR="008238DD" w:rsidTr="00571AB7">
        <w:tc>
          <w:tcPr>
            <w:tcW w:w="0" w:type="auto"/>
          </w:tcPr>
          <w:p w:rsidR="00DB7244" w:rsidRPr="00CE12F7"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10</w:t>
            </w:r>
            <w:r w:rsidR="00DB7244">
              <w:rPr>
                <w:rFonts w:eastAsia="Times New Roman" w:cs="Arial"/>
                <w:color w:val="222222"/>
                <w:sz w:val="18"/>
                <w:szCs w:val="18"/>
                <w:lang w:eastAsia="pt-BR"/>
              </w:rPr>
              <w:t xml:space="preserve">, de </w:t>
            </w:r>
            <w:r>
              <w:rPr>
                <w:rFonts w:eastAsia="Times New Roman" w:cs="Arial"/>
                <w:color w:val="222222"/>
                <w:sz w:val="18"/>
                <w:szCs w:val="18"/>
                <w:lang w:eastAsia="pt-BR"/>
              </w:rPr>
              <w:t>05</w:t>
            </w:r>
            <w:r w:rsidR="00DB7244">
              <w:rPr>
                <w:rFonts w:eastAsia="Times New Roman" w:cs="Arial"/>
                <w:color w:val="222222"/>
                <w:sz w:val="18"/>
                <w:szCs w:val="18"/>
                <w:lang w:eastAsia="pt-BR"/>
              </w:rPr>
              <w:t>/</w:t>
            </w:r>
            <w:r>
              <w:rPr>
                <w:rFonts w:eastAsia="Times New Roman" w:cs="Arial"/>
                <w:color w:val="222222"/>
                <w:sz w:val="18"/>
                <w:szCs w:val="18"/>
                <w:lang w:eastAsia="pt-BR"/>
              </w:rPr>
              <w:t>3</w:t>
            </w:r>
            <w:r w:rsidR="00DB7244">
              <w:rPr>
                <w:rFonts w:eastAsia="Times New Roman" w:cs="Arial"/>
                <w:color w:val="222222"/>
                <w:sz w:val="18"/>
                <w:szCs w:val="18"/>
                <w:lang w:eastAsia="pt-BR"/>
              </w:rPr>
              <w:t>/1</w:t>
            </w:r>
            <w:r>
              <w:rPr>
                <w:rFonts w:eastAsia="Times New Roman" w:cs="Arial"/>
                <w:color w:val="222222"/>
                <w:sz w:val="18"/>
                <w:szCs w:val="18"/>
                <w:lang w:eastAsia="pt-BR"/>
              </w:rPr>
              <w:t>5</w:t>
            </w:r>
          </w:p>
        </w:tc>
        <w:tc>
          <w:tcPr>
            <w:tcW w:w="1151" w:type="dxa"/>
          </w:tcPr>
          <w:p w:rsidR="00DB7244" w:rsidRPr="00CE12F7"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7411.10.90</w:t>
            </w:r>
          </w:p>
        </w:tc>
        <w:tc>
          <w:tcPr>
            <w:tcW w:w="3943" w:type="dxa"/>
          </w:tcPr>
          <w:p w:rsidR="00DB7244" w:rsidRPr="00E0344C" w:rsidRDefault="00E0344C" w:rsidP="00571AB7">
            <w:pPr>
              <w:textAlignment w:val="baseline"/>
              <w:rPr>
                <w:rFonts w:eastAsia="Times New Roman" w:cs="Arial"/>
                <w:color w:val="222222"/>
                <w:sz w:val="18"/>
                <w:szCs w:val="18"/>
                <w:lang w:eastAsia="pt-BR"/>
              </w:rPr>
            </w:pPr>
            <w:r w:rsidRPr="00E0344C">
              <w:rPr>
                <w:sz w:val="18"/>
                <w:szCs w:val="18"/>
              </w:rPr>
              <w:t>tubos circulares de cobre refinados, com aperfeiçoamento na superfície interna, normalmente chamado de ranhuras, com diâmetro externo entre 5 e 15,87 mm e espessura de parede entre 0,22 e 0,4 mm, em qualquer comprimento, de superfície externa lisa, independentemente do processo de fabricação, do acabamento das extremidades, do revestimento externo, do isolamento, de acessórios acoplados, ou da configuração física</w:t>
            </w:r>
          </w:p>
        </w:tc>
        <w:tc>
          <w:tcPr>
            <w:tcW w:w="0" w:type="auto"/>
          </w:tcPr>
          <w:p w:rsidR="00DB7244" w:rsidRPr="00CE12F7" w:rsidRDefault="00DB7244"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 xml:space="preserve">China e </w:t>
            </w:r>
            <w:r w:rsidR="00E0344C">
              <w:rPr>
                <w:rFonts w:eastAsia="Times New Roman" w:cs="Arial"/>
                <w:color w:val="222222"/>
                <w:sz w:val="18"/>
                <w:szCs w:val="18"/>
                <w:lang w:eastAsia="pt-BR"/>
              </w:rPr>
              <w:t>México</w:t>
            </w:r>
          </w:p>
        </w:tc>
        <w:tc>
          <w:tcPr>
            <w:tcW w:w="0" w:type="auto"/>
          </w:tcPr>
          <w:p w:rsidR="00DB7244" w:rsidRPr="00CE12F7"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05</w:t>
            </w:r>
            <w:r w:rsidR="00DB7244">
              <w:rPr>
                <w:rFonts w:eastAsia="Times New Roman" w:cs="Arial"/>
                <w:color w:val="222222"/>
                <w:sz w:val="18"/>
                <w:szCs w:val="18"/>
                <w:lang w:eastAsia="pt-BR"/>
              </w:rPr>
              <w:t>/</w:t>
            </w:r>
            <w:r>
              <w:rPr>
                <w:rFonts w:eastAsia="Times New Roman" w:cs="Arial"/>
                <w:color w:val="222222"/>
                <w:sz w:val="18"/>
                <w:szCs w:val="18"/>
                <w:lang w:eastAsia="pt-BR"/>
              </w:rPr>
              <w:t>3</w:t>
            </w:r>
            <w:r w:rsidR="00DB7244">
              <w:rPr>
                <w:rFonts w:eastAsia="Times New Roman" w:cs="Arial"/>
                <w:color w:val="222222"/>
                <w:sz w:val="18"/>
                <w:szCs w:val="18"/>
                <w:lang w:eastAsia="pt-BR"/>
              </w:rPr>
              <w:t>/</w:t>
            </w:r>
            <w:r>
              <w:rPr>
                <w:rFonts w:eastAsia="Times New Roman" w:cs="Arial"/>
                <w:color w:val="222222"/>
                <w:sz w:val="18"/>
                <w:szCs w:val="18"/>
                <w:lang w:eastAsia="pt-BR"/>
              </w:rPr>
              <w:t>20</w:t>
            </w:r>
          </w:p>
        </w:tc>
      </w:tr>
      <w:tr w:rsidR="008238DD" w:rsidRPr="00E0344C" w:rsidTr="00571AB7">
        <w:tc>
          <w:tcPr>
            <w:tcW w:w="0" w:type="auto"/>
          </w:tcPr>
          <w:p w:rsidR="00DB7244" w:rsidRPr="00E0344C" w:rsidRDefault="00E0344C" w:rsidP="00571AB7">
            <w:pPr>
              <w:textAlignment w:val="baseline"/>
              <w:rPr>
                <w:rFonts w:eastAsia="Times New Roman" w:cs="Arial"/>
                <w:color w:val="222222"/>
                <w:sz w:val="18"/>
                <w:szCs w:val="18"/>
                <w:lang w:eastAsia="pt-BR"/>
              </w:rPr>
            </w:pPr>
            <w:r w:rsidRPr="00E0344C">
              <w:rPr>
                <w:rFonts w:eastAsia="Times New Roman" w:cs="Arial"/>
                <w:color w:val="222222"/>
                <w:sz w:val="18"/>
                <w:szCs w:val="18"/>
                <w:lang w:eastAsia="pt-BR"/>
              </w:rPr>
              <w:t>9</w:t>
            </w:r>
            <w:r w:rsidR="00DB7244" w:rsidRPr="00E0344C">
              <w:rPr>
                <w:rFonts w:eastAsia="Times New Roman" w:cs="Arial"/>
                <w:color w:val="222222"/>
                <w:sz w:val="18"/>
                <w:szCs w:val="18"/>
                <w:lang w:eastAsia="pt-BR"/>
              </w:rPr>
              <w:t xml:space="preserve">, de </w:t>
            </w:r>
            <w:r w:rsidRPr="00E0344C">
              <w:rPr>
                <w:rFonts w:eastAsia="Times New Roman" w:cs="Arial"/>
                <w:color w:val="222222"/>
                <w:sz w:val="18"/>
                <w:szCs w:val="18"/>
                <w:lang w:eastAsia="pt-BR"/>
              </w:rPr>
              <w:t>0</w:t>
            </w:r>
            <w:r w:rsidR="00DB7244" w:rsidRPr="00E0344C">
              <w:rPr>
                <w:rFonts w:eastAsia="Times New Roman" w:cs="Arial"/>
                <w:color w:val="222222"/>
                <w:sz w:val="18"/>
                <w:szCs w:val="18"/>
                <w:lang w:eastAsia="pt-BR"/>
              </w:rPr>
              <w:t>3/</w:t>
            </w:r>
            <w:r w:rsidRPr="00E0344C">
              <w:rPr>
                <w:rFonts w:eastAsia="Times New Roman" w:cs="Arial"/>
                <w:color w:val="222222"/>
                <w:sz w:val="18"/>
                <w:szCs w:val="18"/>
                <w:lang w:eastAsia="pt-BR"/>
              </w:rPr>
              <w:t>3</w:t>
            </w:r>
            <w:r w:rsidR="00DB7244" w:rsidRPr="00E0344C">
              <w:rPr>
                <w:rFonts w:eastAsia="Times New Roman" w:cs="Arial"/>
                <w:color w:val="222222"/>
                <w:sz w:val="18"/>
                <w:szCs w:val="18"/>
                <w:lang w:eastAsia="pt-BR"/>
              </w:rPr>
              <w:t>/1</w:t>
            </w:r>
            <w:r w:rsidRPr="00E0344C">
              <w:rPr>
                <w:rFonts w:eastAsia="Times New Roman" w:cs="Arial"/>
                <w:color w:val="222222"/>
                <w:sz w:val="18"/>
                <w:szCs w:val="18"/>
                <w:lang w:eastAsia="pt-BR"/>
              </w:rPr>
              <w:t>5</w:t>
            </w:r>
          </w:p>
        </w:tc>
        <w:tc>
          <w:tcPr>
            <w:tcW w:w="1151" w:type="dxa"/>
          </w:tcPr>
          <w:p w:rsidR="00DB7244" w:rsidRPr="00E0344C" w:rsidRDefault="00E0344C" w:rsidP="00571AB7">
            <w:pPr>
              <w:textAlignment w:val="baseline"/>
              <w:rPr>
                <w:rFonts w:eastAsia="Times New Roman" w:cs="Arial"/>
                <w:color w:val="222222"/>
                <w:sz w:val="18"/>
                <w:szCs w:val="18"/>
                <w:lang w:eastAsia="pt-BR"/>
              </w:rPr>
            </w:pPr>
            <w:r w:rsidRPr="00E0344C">
              <w:rPr>
                <w:rFonts w:eastAsia="Times New Roman" w:cs="Arial"/>
                <w:color w:val="222222"/>
                <w:sz w:val="18"/>
                <w:szCs w:val="18"/>
                <w:lang w:eastAsia="pt-BR"/>
              </w:rPr>
              <w:t>3701.30.21</w:t>
            </w:r>
          </w:p>
          <w:p w:rsidR="00E0344C" w:rsidRPr="00E0344C" w:rsidRDefault="00E0344C" w:rsidP="00571AB7">
            <w:pPr>
              <w:textAlignment w:val="baseline"/>
              <w:rPr>
                <w:rFonts w:eastAsia="Times New Roman" w:cs="Arial"/>
                <w:color w:val="222222"/>
                <w:sz w:val="18"/>
                <w:szCs w:val="18"/>
                <w:lang w:eastAsia="pt-BR"/>
              </w:rPr>
            </w:pPr>
            <w:r w:rsidRPr="00E0344C">
              <w:rPr>
                <w:rFonts w:eastAsia="Times New Roman" w:cs="Arial"/>
                <w:color w:val="222222"/>
                <w:sz w:val="18"/>
                <w:szCs w:val="18"/>
                <w:lang w:eastAsia="pt-BR"/>
              </w:rPr>
              <w:t>3701.30.31</w:t>
            </w:r>
          </w:p>
        </w:tc>
        <w:tc>
          <w:tcPr>
            <w:tcW w:w="3943" w:type="dxa"/>
          </w:tcPr>
          <w:p w:rsidR="00DB7244" w:rsidRPr="00E0344C" w:rsidRDefault="00E0344C" w:rsidP="00571AB7">
            <w:pPr>
              <w:textAlignment w:val="baseline"/>
              <w:rPr>
                <w:rFonts w:eastAsia="Times New Roman" w:cs="Arial"/>
                <w:color w:val="222222"/>
                <w:sz w:val="18"/>
                <w:szCs w:val="18"/>
                <w:lang w:eastAsia="pt-BR"/>
              </w:rPr>
            </w:pPr>
            <w:r w:rsidRPr="00E0344C">
              <w:rPr>
                <w:sz w:val="18"/>
                <w:szCs w:val="18"/>
              </w:rPr>
              <w:t xml:space="preserve">chapas pré-sensibilizadas de alumínio para impressão </w:t>
            </w:r>
            <w:proofErr w:type="spellStart"/>
            <w:r w:rsidRPr="00E0344C">
              <w:rPr>
                <w:sz w:val="18"/>
                <w:szCs w:val="18"/>
              </w:rPr>
              <w:t>off-set</w:t>
            </w:r>
            <w:proofErr w:type="spellEnd"/>
          </w:p>
        </w:tc>
        <w:tc>
          <w:tcPr>
            <w:tcW w:w="0" w:type="auto"/>
          </w:tcPr>
          <w:p w:rsidR="00DB7244" w:rsidRPr="00E0344C" w:rsidRDefault="00DB7244" w:rsidP="00571AB7">
            <w:pPr>
              <w:textAlignment w:val="baseline"/>
              <w:rPr>
                <w:rFonts w:eastAsia="Times New Roman" w:cs="Arial"/>
                <w:color w:val="222222"/>
                <w:sz w:val="18"/>
                <w:szCs w:val="18"/>
                <w:lang w:eastAsia="pt-BR"/>
              </w:rPr>
            </w:pPr>
            <w:r w:rsidRPr="00E0344C">
              <w:rPr>
                <w:rFonts w:eastAsia="Times New Roman" w:cs="Arial"/>
                <w:color w:val="222222"/>
                <w:sz w:val="18"/>
                <w:szCs w:val="18"/>
                <w:lang w:eastAsia="pt-BR"/>
              </w:rPr>
              <w:t>China</w:t>
            </w:r>
          </w:p>
        </w:tc>
        <w:tc>
          <w:tcPr>
            <w:tcW w:w="0" w:type="auto"/>
          </w:tcPr>
          <w:p w:rsidR="00DB7244" w:rsidRPr="00E0344C"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05</w:t>
            </w:r>
            <w:r w:rsidR="00DB7244" w:rsidRPr="00E0344C">
              <w:rPr>
                <w:rFonts w:eastAsia="Times New Roman" w:cs="Arial"/>
                <w:color w:val="222222"/>
                <w:sz w:val="18"/>
                <w:szCs w:val="18"/>
                <w:lang w:eastAsia="pt-BR"/>
              </w:rPr>
              <w:t>/</w:t>
            </w:r>
            <w:r>
              <w:rPr>
                <w:rFonts w:eastAsia="Times New Roman" w:cs="Arial"/>
                <w:color w:val="222222"/>
                <w:sz w:val="18"/>
                <w:szCs w:val="18"/>
                <w:lang w:eastAsia="pt-BR"/>
              </w:rPr>
              <w:t>3</w:t>
            </w:r>
            <w:r w:rsidR="00DB7244" w:rsidRPr="00E0344C">
              <w:rPr>
                <w:rFonts w:eastAsia="Times New Roman" w:cs="Arial"/>
                <w:color w:val="222222"/>
                <w:sz w:val="18"/>
                <w:szCs w:val="18"/>
                <w:lang w:eastAsia="pt-BR"/>
              </w:rPr>
              <w:t>/</w:t>
            </w:r>
            <w:r>
              <w:rPr>
                <w:rFonts w:eastAsia="Times New Roman" w:cs="Arial"/>
                <w:color w:val="222222"/>
                <w:sz w:val="18"/>
                <w:szCs w:val="18"/>
                <w:lang w:eastAsia="pt-BR"/>
              </w:rPr>
              <w:t>20</w:t>
            </w:r>
          </w:p>
        </w:tc>
      </w:tr>
      <w:tr w:rsidR="008238DD" w:rsidRPr="00E0344C" w:rsidTr="00571AB7">
        <w:tc>
          <w:tcPr>
            <w:tcW w:w="0" w:type="auto"/>
          </w:tcPr>
          <w:p w:rsidR="00E0344C" w:rsidRPr="00E0344C"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15, de 31/3/15</w:t>
            </w:r>
          </w:p>
        </w:tc>
        <w:tc>
          <w:tcPr>
            <w:tcW w:w="1151" w:type="dxa"/>
          </w:tcPr>
          <w:p w:rsidR="00E0344C" w:rsidRPr="00E0344C" w:rsidRDefault="00E0344C"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2917.12.10</w:t>
            </w:r>
          </w:p>
        </w:tc>
        <w:tc>
          <w:tcPr>
            <w:tcW w:w="3943" w:type="dxa"/>
          </w:tcPr>
          <w:p w:rsidR="00E0344C" w:rsidRPr="00E0344C" w:rsidRDefault="008238DD" w:rsidP="00571AB7">
            <w:pPr>
              <w:textAlignment w:val="baseline"/>
              <w:rPr>
                <w:sz w:val="18"/>
                <w:szCs w:val="18"/>
              </w:rPr>
            </w:pPr>
            <w:r>
              <w:rPr>
                <w:sz w:val="18"/>
                <w:szCs w:val="18"/>
              </w:rPr>
              <w:t xml:space="preserve">Ácido </w:t>
            </w:r>
            <w:proofErr w:type="spellStart"/>
            <w:r>
              <w:rPr>
                <w:sz w:val="18"/>
                <w:szCs w:val="18"/>
              </w:rPr>
              <w:t>adípico</w:t>
            </w:r>
            <w:proofErr w:type="spellEnd"/>
          </w:p>
        </w:tc>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Alemanha, EUA, França, Itália e China</w:t>
            </w:r>
          </w:p>
        </w:tc>
        <w:tc>
          <w:tcPr>
            <w:tcW w:w="0" w:type="auto"/>
          </w:tcPr>
          <w:p w:rsid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01/4/20</w:t>
            </w:r>
          </w:p>
        </w:tc>
      </w:tr>
      <w:tr w:rsidR="008238DD" w:rsidRPr="00E0344C" w:rsidTr="00571AB7">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lastRenderedPageBreak/>
              <w:t>26, de 29/4/15</w:t>
            </w:r>
          </w:p>
        </w:tc>
        <w:tc>
          <w:tcPr>
            <w:tcW w:w="1151" w:type="dxa"/>
          </w:tcPr>
          <w:p w:rsidR="00E0344C" w:rsidRPr="008238DD" w:rsidRDefault="008238DD" w:rsidP="00571AB7">
            <w:pPr>
              <w:textAlignment w:val="baseline"/>
              <w:rPr>
                <w:rFonts w:eastAsia="Times New Roman" w:cs="Arial"/>
                <w:color w:val="222222"/>
                <w:sz w:val="18"/>
                <w:szCs w:val="18"/>
                <w:lang w:eastAsia="pt-BR"/>
              </w:rPr>
            </w:pPr>
            <w:r w:rsidRPr="008238DD">
              <w:rPr>
                <w:sz w:val="18"/>
                <w:szCs w:val="18"/>
              </w:rPr>
              <w:t>3822.00.90, 3926.90.40 e 9018.39.99</w:t>
            </w:r>
          </w:p>
        </w:tc>
        <w:tc>
          <w:tcPr>
            <w:tcW w:w="3943" w:type="dxa"/>
          </w:tcPr>
          <w:p w:rsidR="00E0344C" w:rsidRPr="008238DD" w:rsidRDefault="008238DD" w:rsidP="00571AB7">
            <w:pPr>
              <w:textAlignment w:val="baseline"/>
              <w:rPr>
                <w:sz w:val="18"/>
                <w:szCs w:val="18"/>
              </w:rPr>
            </w:pPr>
            <w:r w:rsidRPr="008238DD">
              <w:rPr>
                <w:sz w:val="18"/>
                <w:szCs w:val="18"/>
              </w:rPr>
              <w:t>tubos de plástico para coleta de sangue a vácuo</w:t>
            </w:r>
          </w:p>
        </w:tc>
        <w:tc>
          <w:tcPr>
            <w:tcW w:w="0" w:type="auto"/>
          </w:tcPr>
          <w:p w:rsidR="00E0344C" w:rsidRPr="008238DD"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Alemanha, EUA, Reino Unido e China</w:t>
            </w:r>
          </w:p>
        </w:tc>
        <w:tc>
          <w:tcPr>
            <w:tcW w:w="0" w:type="auto"/>
          </w:tcPr>
          <w:p w:rsid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30/4/20</w:t>
            </w:r>
          </w:p>
        </w:tc>
      </w:tr>
      <w:tr w:rsidR="008238DD" w:rsidRPr="00E0344C" w:rsidTr="00571AB7">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31, 29/4/15</w:t>
            </w:r>
          </w:p>
        </w:tc>
        <w:tc>
          <w:tcPr>
            <w:tcW w:w="1151" w:type="dxa"/>
          </w:tcPr>
          <w:p w:rsidR="00E0344C" w:rsidRPr="008238DD"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8505.19.10</w:t>
            </w:r>
          </w:p>
        </w:tc>
        <w:tc>
          <w:tcPr>
            <w:tcW w:w="3943" w:type="dxa"/>
          </w:tcPr>
          <w:p w:rsidR="00E0344C" w:rsidRPr="008238DD" w:rsidRDefault="008238DD" w:rsidP="00571AB7">
            <w:pPr>
              <w:textAlignment w:val="baseline"/>
              <w:rPr>
                <w:sz w:val="18"/>
                <w:szCs w:val="18"/>
              </w:rPr>
            </w:pPr>
            <w:r w:rsidRPr="008238DD">
              <w:rPr>
                <w:sz w:val="18"/>
                <w:szCs w:val="18"/>
              </w:rPr>
              <w:t xml:space="preserve">ímãs de </w:t>
            </w:r>
            <w:proofErr w:type="spellStart"/>
            <w:r w:rsidRPr="008238DD">
              <w:rPr>
                <w:sz w:val="18"/>
                <w:szCs w:val="18"/>
              </w:rPr>
              <w:t>ferrite</w:t>
            </w:r>
            <w:proofErr w:type="spellEnd"/>
            <w:r w:rsidRPr="008238DD">
              <w:rPr>
                <w:sz w:val="18"/>
                <w:szCs w:val="18"/>
              </w:rPr>
              <w:t xml:space="preserve"> em formato de segmento (arco)</w:t>
            </w:r>
          </w:p>
        </w:tc>
        <w:tc>
          <w:tcPr>
            <w:tcW w:w="0" w:type="auto"/>
          </w:tcPr>
          <w:p w:rsidR="00E0344C" w:rsidRPr="008238DD"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China e Coreia do Sul</w:t>
            </w:r>
          </w:p>
        </w:tc>
        <w:tc>
          <w:tcPr>
            <w:tcW w:w="0" w:type="auto"/>
          </w:tcPr>
          <w:p w:rsid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04/5/20</w:t>
            </w:r>
          </w:p>
        </w:tc>
      </w:tr>
      <w:tr w:rsidR="008238DD" w:rsidRPr="00E0344C" w:rsidTr="00571AB7">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32, de 29/4/15</w:t>
            </w:r>
          </w:p>
        </w:tc>
        <w:tc>
          <w:tcPr>
            <w:tcW w:w="1151" w:type="dxa"/>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4011.20.90</w:t>
            </w:r>
          </w:p>
        </w:tc>
        <w:tc>
          <w:tcPr>
            <w:tcW w:w="3943" w:type="dxa"/>
          </w:tcPr>
          <w:p w:rsidR="00E0344C" w:rsidRPr="008238DD" w:rsidRDefault="008238DD" w:rsidP="00571AB7">
            <w:pPr>
              <w:textAlignment w:val="baseline"/>
              <w:rPr>
                <w:sz w:val="18"/>
                <w:szCs w:val="18"/>
              </w:rPr>
            </w:pPr>
            <w:r w:rsidRPr="008238DD">
              <w:rPr>
                <w:sz w:val="18"/>
                <w:szCs w:val="18"/>
              </w:rPr>
              <w:t>pneus de construção radial, de aros 20", 22" e 22,5", para uso em ônibus e caminhões</w:t>
            </w:r>
          </w:p>
        </w:tc>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China</w:t>
            </w:r>
          </w:p>
        </w:tc>
        <w:tc>
          <w:tcPr>
            <w:tcW w:w="0" w:type="auto"/>
          </w:tcPr>
          <w:p w:rsid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04/5/20</w:t>
            </w:r>
          </w:p>
        </w:tc>
      </w:tr>
      <w:tr w:rsidR="008238DD" w:rsidRPr="00E0344C" w:rsidTr="00571AB7">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46, de 21/5/15</w:t>
            </w:r>
          </w:p>
        </w:tc>
        <w:tc>
          <w:tcPr>
            <w:tcW w:w="1151" w:type="dxa"/>
          </w:tcPr>
          <w:p w:rsidR="00E0344C" w:rsidRPr="008238DD" w:rsidRDefault="008238DD" w:rsidP="00571AB7">
            <w:pPr>
              <w:textAlignment w:val="baseline"/>
              <w:rPr>
                <w:rFonts w:eastAsia="Times New Roman" w:cs="Arial"/>
                <w:color w:val="222222"/>
                <w:sz w:val="18"/>
                <w:szCs w:val="18"/>
                <w:lang w:eastAsia="pt-BR"/>
              </w:rPr>
            </w:pPr>
            <w:r w:rsidRPr="008238DD">
              <w:rPr>
                <w:sz w:val="18"/>
                <w:szCs w:val="18"/>
              </w:rPr>
              <w:t>3920.62.19, 3920.62.91 e 3920.62.99</w:t>
            </w:r>
          </w:p>
        </w:tc>
        <w:tc>
          <w:tcPr>
            <w:tcW w:w="3943" w:type="dxa"/>
          </w:tcPr>
          <w:p w:rsidR="00E0344C" w:rsidRPr="008238DD" w:rsidRDefault="008238DD" w:rsidP="00571AB7">
            <w:pPr>
              <w:textAlignment w:val="baseline"/>
              <w:rPr>
                <w:sz w:val="18"/>
                <w:szCs w:val="18"/>
              </w:rPr>
            </w:pPr>
            <w:r w:rsidRPr="008238DD">
              <w:rPr>
                <w:sz w:val="18"/>
                <w:szCs w:val="18"/>
              </w:rPr>
              <w:t xml:space="preserve">filmes, chapas, folhas, películas, tiras e lâminas, biaxialmente orientados, de </w:t>
            </w:r>
            <w:proofErr w:type="gramStart"/>
            <w:r w:rsidRPr="008238DD">
              <w:rPr>
                <w:sz w:val="18"/>
                <w:szCs w:val="18"/>
              </w:rPr>
              <w:t>poli(</w:t>
            </w:r>
            <w:proofErr w:type="gramEnd"/>
            <w:r w:rsidRPr="008238DD">
              <w:rPr>
                <w:sz w:val="18"/>
                <w:szCs w:val="18"/>
              </w:rPr>
              <w:t xml:space="preserve">tereftalato de etileno), de espessura igual ou superior a 5 micrômetros, e igual ou inferior a 50 micrômetros, metalizado ou não, sem tratamento ou com tratamento tipo </w:t>
            </w:r>
            <w:proofErr w:type="spellStart"/>
            <w:r w:rsidRPr="008238DD">
              <w:rPr>
                <w:sz w:val="18"/>
                <w:szCs w:val="18"/>
              </w:rPr>
              <w:t>coextrusão</w:t>
            </w:r>
            <w:proofErr w:type="spellEnd"/>
            <w:r w:rsidRPr="008238DD">
              <w:rPr>
                <w:sz w:val="18"/>
                <w:szCs w:val="18"/>
              </w:rPr>
              <w:t>, químico ou com descarga de corona</w:t>
            </w:r>
          </w:p>
        </w:tc>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China, Egito e Índia</w:t>
            </w:r>
          </w:p>
        </w:tc>
        <w:tc>
          <w:tcPr>
            <w:tcW w:w="0" w:type="auto"/>
          </w:tcPr>
          <w:p w:rsid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22/5/20</w:t>
            </w:r>
          </w:p>
        </w:tc>
      </w:tr>
      <w:tr w:rsidR="008238DD" w:rsidRPr="00E0344C" w:rsidTr="00571AB7">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57, de 19/6/15</w:t>
            </w:r>
          </w:p>
        </w:tc>
        <w:tc>
          <w:tcPr>
            <w:tcW w:w="1151" w:type="dxa"/>
          </w:tcPr>
          <w:p w:rsidR="00E0344C" w:rsidRPr="008238DD"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4009.11.00</w:t>
            </w:r>
          </w:p>
        </w:tc>
        <w:tc>
          <w:tcPr>
            <w:tcW w:w="3943" w:type="dxa"/>
          </w:tcPr>
          <w:p w:rsidR="00E0344C" w:rsidRPr="008238DD" w:rsidRDefault="008238DD" w:rsidP="00571AB7">
            <w:pPr>
              <w:textAlignment w:val="baseline"/>
              <w:rPr>
                <w:sz w:val="18"/>
                <w:szCs w:val="18"/>
              </w:rPr>
            </w:pPr>
            <w:r>
              <w:rPr>
                <w:sz w:val="18"/>
                <w:szCs w:val="18"/>
              </w:rPr>
              <w:t>Tubos de borracha elastomérica</w:t>
            </w:r>
          </w:p>
        </w:tc>
        <w:tc>
          <w:tcPr>
            <w:tcW w:w="0" w:type="auto"/>
          </w:tcPr>
          <w:p w:rsidR="00E0344C" w:rsidRP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Alemanha, Emirados Árabes, Israel, Itália e Malásia</w:t>
            </w:r>
          </w:p>
        </w:tc>
        <w:tc>
          <w:tcPr>
            <w:tcW w:w="0" w:type="auto"/>
          </w:tcPr>
          <w:p w:rsidR="00E0344C"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22/6/20</w:t>
            </w:r>
          </w:p>
        </w:tc>
      </w:tr>
      <w:tr w:rsidR="008238DD" w:rsidRPr="00E0344C" w:rsidTr="00571AB7">
        <w:tc>
          <w:tcPr>
            <w:tcW w:w="0" w:type="auto"/>
          </w:tcPr>
          <w:p w:rsidR="008238DD"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58, de 19/6/15</w:t>
            </w:r>
          </w:p>
        </w:tc>
        <w:tc>
          <w:tcPr>
            <w:tcW w:w="1151" w:type="dxa"/>
          </w:tcPr>
          <w:p w:rsidR="008238DD"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9018.31.11 9018.31.19</w:t>
            </w:r>
          </w:p>
        </w:tc>
        <w:tc>
          <w:tcPr>
            <w:tcW w:w="3943" w:type="dxa"/>
          </w:tcPr>
          <w:p w:rsidR="008238DD" w:rsidRPr="008238DD" w:rsidRDefault="008238DD" w:rsidP="00571AB7">
            <w:pPr>
              <w:textAlignment w:val="baseline"/>
              <w:rPr>
                <w:sz w:val="18"/>
                <w:szCs w:val="18"/>
              </w:rPr>
            </w:pPr>
            <w:r w:rsidRPr="008238DD">
              <w:rPr>
                <w:sz w:val="18"/>
                <w:szCs w:val="18"/>
              </w:rPr>
              <w:t>seringas descartáveis de uso geral, de plástico, com capacidade de 1ml, 3ml, 5 ml, 10 ml ou 20 ml, com ou sem agulhas</w:t>
            </w:r>
          </w:p>
        </w:tc>
        <w:tc>
          <w:tcPr>
            <w:tcW w:w="0" w:type="auto"/>
          </w:tcPr>
          <w:p w:rsidR="008238DD"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China</w:t>
            </w:r>
          </w:p>
        </w:tc>
        <w:tc>
          <w:tcPr>
            <w:tcW w:w="0" w:type="auto"/>
          </w:tcPr>
          <w:p w:rsidR="008238DD" w:rsidRDefault="008238DD" w:rsidP="00571AB7">
            <w:pPr>
              <w:textAlignment w:val="baseline"/>
              <w:rPr>
                <w:rFonts w:eastAsia="Times New Roman" w:cs="Arial"/>
                <w:color w:val="222222"/>
                <w:sz w:val="18"/>
                <w:szCs w:val="18"/>
                <w:lang w:eastAsia="pt-BR"/>
              </w:rPr>
            </w:pPr>
            <w:r>
              <w:rPr>
                <w:rFonts w:eastAsia="Times New Roman" w:cs="Arial"/>
                <w:color w:val="222222"/>
                <w:sz w:val="18"/>
                <w:szCs w:val="18"/>
                <w:lang w:eastAsia="pt-BR"/>
              </w:rPr>
              <w:t>22/6/20</w:t>
            </w:r>
          </w:p>
        </w:tc>
      </w:tr>
    </w:tbl>
    <w:p w:rsidR="00E0344C" w:rsidRPr="00E0344C" w:rsidRDefault="001A16FB" w:rsidP="00E0344C">
      <w:pPr>
        <w:shd w:val="clear" w:color="auto" w:fill="FFFFFF"/>
        <w:spacing w:after="0" w:line="240" w:lineRule="auto"/>
        <w:rPr>
          <w:sz w:val="18"/>
          <w:szCs w:val="18"/>
        </w:rPr>
      </w:pPr>
      <w:r w:rsidRPr="00E0344C">
        <w:rPr>
          <w:sz w:val="18"/>
          <w:szCs w:val="18"/>
        </w:rPr>
        <w:t xml:space="preserve"> </w:t>
      </w:r>
    </w:p>
    <w:p w:rsidR="001A16FB" w:rsidRDefault="001A16FB" w:rsidP="001A16FB">
      <w:pPr>
        <w:shd w:val="clear" w:color="auto" w:fill="FFFFFF"/>
        <w:spacing w:after="0" w:line="240" w:lineRule="auto"/>
        <w:rPr>
          <w:sz w:val="22"/>
          <w:szCs w:val="22"/>
        </w:rPr>
      </w:pPr>
    </w:p>
    <w:p w:rsidR="001A16FB" w:rsidRDefault="001A16FB" w:rsidP="00A0419E">
      <w:pPr>
        <w:rPr>
          <w:sz w:val="24"/>
          <w:szCs w:val="24"/>
        </w:rPr>
      </w:pPr>
    </w:p>
    <w:p w:rsidR="001A16FB" w:rsidRPr="001A16FB" w:rsidRDefault="001A16FB" w:rsidP="001A16FB">
      <w:pPr>
        <w:shd w:val="clear" w:color="auto" w:fill="FFFFFF"/>
        <w:spacing w:after="0" w:line="240" w:lineRule="auto"/>
        <w:rPr>
          <w:rFonts w:eastAsia="Times New Roman" w:cs="Arial"/>
          <w:color w:val="222222"/>
          <w:sz w:val="22"/>
          <w:szCs w:val="22"/>
          <w:lang w:eastAsia="pt-BR"/>
        </w:rPr>
      </w:pPr>
      <w:bookmarkStart w:id="0" w:name="_Hlk11082289"/>
      <w:r w:rsidRPr="001A16FB">
        <w:rPr>
          <w:rFonts w:ascii="Calibri" w:hAnsi="Calibri"/>
          <w:b/>
          <w:bCs/>
          <w:color w:val="222222"/>
          <w:sz w:val="22"/>
          <w:szCs w:val="22"/>
        </w:rPr>
        <w:t>ACIDO CITRICO, CITRATO DE SÓDIO, DE POTÁSSIO, DE CÁLCIO E SUAS MISTURAS (NCM 2918.14.00 E 2918.15.00</w:t>
      </w:r>
      <w:r w:rsidRPr="001A16FB">
        <w:rPr>
          <w:rFonts w:ascii="Calibri" w:hAnsi="Calibri"/>
          <w:b/>
          <w:bCs/>
          <w:color w:val="000000"/>
          <w:sz w:val="22"/>
          <w:szCs w:val="22"/>
        </w:rPr>
        <w:t>)</w:t>
      </w:r>
      <w:r w:rsidRPr="001A16FB">
        <w:rPr>
          <w:rFonts w:ascii="Calibri" w:hAnsi="Calibri"/>
          <w:b/>
          <w:bCs/>
          <w:color w:val="222222"/>
          <w:sz w:val="22"/>
          <w:szCs w:val="22"/>
        </w:rPr>
        <w:t> –</w:t>
      </w:r>
      <w:r w:rsidRPr="001A16FB">
        <w:rPr>
          <w:rFonts w:ascii="Calibri" w:hAnsi="Calibri"/>
          <w:color w:val="222222"/>
          <w:sz w:val="22"/>
          <w:szCs w:val="22"/>
        </w:rPr>
        <w:t xml:space="preserve"> A SECEX, para efeito do compromisso de preço firmado, divulgou o novo preço para a importação de ácido cítrico, citrato de sódio, citrato de potássio, citrato de cálcio e suas misturas, NCM 2918.14.00 e 2918.15.00, fabricado pelas empresas COFCO </w:t>
      </w:r>
      <w:proofErr w:type="spellStart"/>
      <w:r w:rsidRPr="001A16FB">
        <w:rPr>
          <w:rFonts w:ascii="Calibri" w:hAnsi="Calibri"/>
          <w:color w:val="222222"/>
          <w:sz w:val="22"/>
          <w:szCs w:val="22"/>
        </w:rPr>
        <w:t>Biochemical</w:t>
      </w:r>
      <w:proofErr w:type="spellEnd"/>
      <w:r w:rsidRPr="001A16FB">
        <w:rPr>
          <w:rFonts w:ascii="Calibri" w:hAnsi="Calibri"/>
          <w:color w:val="222222"/>
          <w:sz w:val="22"/>
          <w:szCs w:val="22"/>
        </w:rPr>
        <w:t xml:space="preserve"> (</w:t>
      </w:r>
      <w:proofErr w:type="spellStart"/>
      <w:r w:rsidRPr="001A16FB">
        <w:rPr>
          <w:rFonts w:ascii="Calibri" w:hAnsi="Calibri"/>
          <w:color w:val="222222"/>
          <w:sz w:val="22"/>
          <w:szCs w:val="22"/>
        </w:rPr>
        <w:t>Anhui</w:t>
      </w:r>
      <w:proofErr w:type="spellEnd"/>
      <w:r w:rsidRPr="001A16FB">
        <w:rPr>
          <w:rFonts w:ascii="Calibri" w:hAnsi="Calibri"/>
          <w:color w:val="222222"/>
          <w:sz w:val="22"/>
          <w:szCs w:val="22"/>
        </w:rPr>
        <w:t xml:space="preserve">), COFCO </w:t>
      </w:r>
      <w:proofErr w:type="spellStart"/>
      <w:r w:rsidRPr="001A16FB">
        <w:rPr>
          <w:rFonts w:ascii="Calibri" w:hAnsi="Calibri"/>
          <w:color w:val="222222"/>
          <w:sz w:val="22"/>
          <w:szCs w:val="22"/>
        </w:rPr>
        <w:t>Biochemical</w:t>
      </w:r>
      <w:proofErr w:type="spellEnd"/>
      <w:r w:rsidRPr="001A16FB">
        <w:rPr>
          <w:rFonts w:ascii="Calibri" w:hAnsi="Calibri"/>
          <w:color w:val="222222"/>
          <w:sz w:val="22"/>
          <w:szCs w:val="22"/>
        </w:rPr>
        <w:t xml:space="preserve"> (</w:t>
      </w:r>
      <w:proofErr w:type="spellStart"/>
      <w:r w:rsidRPr="001A16FB">
        <w:rPr>
          <w:rFonts w:ascii="Calibri" w:hAnsi="Calibri"/>
          <w:color w:val="222222"/>
          <w:sz w:val="22"/>
          <w:szCs w:val="22"/>
        </w:rPr>
        <w:t>Maanshan</w:t>
      </w:r>
      <w:proofErr w:type="spellEnd"/>
      <w:r w:rsidRPr="001A16FB">
        <w:rPr>
          <w:rFonts w:ascii="Calibri" w:hAnsi="Calibri"/>
          <w:color w:val="222222"/>
          <w:sz w:val="22"/>
          <w:szCs w:val="22"/>
        </w:rPr>
        <w:t xml:space="preserve">) Co. </w:t>
      </w:r>
      <w:proofErr w:type="spellStart"/>
      <w:r w:rsidRPr="001A16FB">
        <w:rPr>
          <w:rFonts w:ascii="Calibri" w:hAnsi="Calibri"/>
          <w:color w:val="222222"/>
          <w:sz w:val="22"/>
          <w:szCs w:val="22"/>
        </w:rPr>
        <w:t>Ltd</w:t>
      </w:r>
      <w:proofErr w:type="spellEnd"/>
      <w:r w:rsidRPr="001A16FB">
        <w:rPr>
          <w:rFonts w:ascii="Calibri" w:hAnsi="Calibri"/>
          <w:color w:val="222222"/>
          <w:sz w:val="22"/>
          <w:szCs w:val="22"/>
        </w:rPr>
        <w:t>. e RZBC (</w:t>
      </w:r>
      <w:proofErr w:type="spellStart"/>
      <w:r w:rsidRPr="001A16FB">
        <w:rPr>
          <w:rFonts w:ascii="Calibri" w:hAnsi="Calibri"/>
          <w:color w:val="222222"/>
          <w:sz w:val="22"/>
          <w:szCs w:val="22"/>
        </w:rPr>
        <w:t>Juxian</w:t>
      </w:r>
      <w:proofErr w:type="spellEnd"/>
      <w:r w:rsidRPr="001A16FB">
        <w:rPr>
          <w:rFonts w:ascii="Calibri" w:hAnsi="Calibri"/>
          <w:color w:val="222222"/>
          <w:sz w:val="22"/>
          <w:szCs w:val="22"/>
        </w:rPr>
        <w:t xml:space="preserve">) Co. </w:t>
      </w:r>
      <w:proofErr w:type="spellStart"/>
      <w:r w:rsidRPr="001A16FB">
        <w:rPr>
          <w:rFonts w:ascii="Calibri" w:hAnsi="Calibri"/>
          <w:color w:val="222222"/>
          <w:sz w:val="22"/>
          <w:szCs w:val="22"/>
        </w:rPr>
        <w:t>Ltd</w:t>
      </w:r>
      <w:proofErr w:type="spellEnd"/>
      <w:r w:rsidRPr="001A16FB">
        <w:rPr>
          <w:rFonts w:ascii="Calibri" w:hAnsi="Calibri"/>
          <w:color w:val="222222"/>
          <w:sz w:val="22"/>
          <w:szCs w:val="22"/>
        </w:rPr>
        <w:t xml:space="preserve">. e exportado para o Brasil diretamente ou via trading </w:t>
      </w:r>
      <w:proofErr w:type="spellStart"/>
      <w:r w:rsidRPr="001A16FB">
        <w:rPr>
          <w:rFonts w:ascii="Calibri" w:hAnsi="Calibri"/>
          <w:color w:val="222222"/>
          <w:sz w:val="22"/>
          <w:szCs w:val="22"/>
        </w:rPr>
        <w:t>company</w:t>
      </w:r>
      <w:proofErr w:type="spellEnd"/>
      <w:r w:rsidRPr="001A16FB">
        <w:rPr>
          <w:rFonts w:ascii="Calibri" w:hAnsi="Calibri"/>
          <w:color w:val="222222"/>
          <w:sz w:val="22"/>
          <w:szCs w:val="22"/>
        </w:rPr>
        <w:t xml:space="preserve"> RZBC </w:t>
      </w:r>
      <w:proofErr w:type="spellStart"/>
      <w:r w:rsidRPr="001A16FB">
        <w:rPr>
          <w:rFonts w:ascii="Calibri" w:hAnsi="Calibri"/>
          <w:color w:val="222222"/>
          <w:sz w:val="22"/>
          <w:szCs w:val="22"/>
        </w:rPr>
        <w:t>Import</w:t>
      </w:r>
      <w:proofErr w:type="spellEnd"/>
      <w:r w:rsidRPr="001A16FB">
        <w:rPr>
          <w:rFonts w:ascii="Calibri" w:hAnsi="Calibri"/>
          <w:color w:val="222222"/>
          <w:sz w:val="22"/>
          <w:szCs w:val="22"/>
        </w:rPr>
        <w:t xml:space="preserve"> &amp; Export. Deverão ser observados preços CIF não inferiores a US$ 1.12</w:t>
      </w:r>
      <w:r>
        <w:rPr>
          <w:rFonts w:ascii="Calibri" w:hAnsi="Calibri"/>
          <w:color w:val="222222"/>
          <w:sz w:val="22"/>
          <w:szCs w:val="22"/>
        </w:rPr>
        <w:t>3</w:t>
      </w:r>
      <w:r w:rsidRPr="001A16FB">
        <w:rPr>
          <w:rFonts w:ascii="Calibri" w:hAnsi="Calibri"/>
          <w:color w:val="222222"/>
          <w:sz w:val="22"/>
          <w:szCs w:val="22"/>
        </w:rPr>
        <w:t>,</w:t>
      </w:r>
      <w:r>
        <w:rPr>
          <w:rFonts w:ascii="Calibri" w:hAnsi="Calibri"/>
          <w:color w:val="222222"/>
          <w:sz w:val="22"/>
          <w:szCs w:val="22"/>
        </w:rPr>
        <w:t>91</w:t>
      </w:r>
      <w:r w:rsidRPr="001A16FB">
        <w:rPr>
          <w:rFonts w:ascii="Calibri" w:hAnsi="Calibri"/>
          <w:color w:val="222222"/>
          <w:sz w:val="22"/>
          <w:szCs w:val="22"/>
        </w:rPr>
        <w:t>/t para mercadorias desembaraçadas ao amparo do compromisso, a partir de 0</w:t>
      </w:r>
      <w:r>
        <w:rPr>
          <w:rFonts w:ascii="Calibri" w:hAnsi="Calibri"/>
          <w:color w:val="222222"/>
          <w:sz w:val="22"/>
          <w:szCs w:val="22"/>
        </w:rPr>
        <w:t>7</w:t>
      </w:r>
      <w:r w:rsidRPr="001A16FB">
        <w:rPr>
          <w:rFonts w:ascii="Calibri" w:hAnsi="Calibri"/>
          <w:color w:val="222222"/>
          <w:sz w:val="22"/>
          <w:szCs w:val="22"/>
        </w:rPr>
        <w:t>/0</w:t>
      </w:r>
      <w:r>
        <w:rPr>
          <w:rFonts w:ascii="Calibri" w:hAnsi="Calibri"/>
          <w:color w:val="222222"/>
          <w:sz w:val="22"/>
          <w:szCs w:val="22"/>
        </w:rPr>
        <w:t>6</w:t>
      </w:r>
      <w:r w:rsidRPr="001A16FB">
        <w:rPr>
          <w:rFonts w:ascii="Calibri" w:hAnsi="Calibri"/>
          <w:color w:val="222222"/>
          <w:sz w:val="22"/>
          <w:szCs w:val="22"/>
        </w:rPr>
        <w:t xml:space="preserve">/2019.  A mercadoria está sujeita a licenciamento não automático, sob anuência do DECEX, desde 25/4/2011. (Circular Secex n° </w:t>
      </w:r>
      <w:r>
        <w:rPr>
          <w:rFonts w:ascii="Calibri" w:hAnsi="Calibri"/>
          <w:color w:val="222222"/>
          <w:sz w:val="22"/>
          <w:szCs w:val="22"/>
        </w:rPr>
        <w:t>3</w:t>
      </w:r>
      <w:r w:rsidRPr="001A16FB">
        <w:rPr>
          <w:rFonts w:ascii="Calibri" w:hAnsi="Calibri"/>
          <w:color w:val="222222"/>
          <w:sz w:val="22"/>
          <w:szCs w:val="22"/>
        </w:rPr>
        <w:t>3, de 2</w:t>
      </w:r>
      <w:r>
        <w:rPr>
          <w:rFonts w:ascii="Calibri" w:hAnsi="Calibri"/>
          <w:color w:val="222222"/>
          <w:sz w:val="22"/>
          <w:szCs w:val="22"/>
        </w:rPr>
        <w:t>7</w:t>
      </w:r>
      <w:r w:rsidRPr="001A16FB">
        <w:rPr>
          <w:rFonts w:ascii="Calibri" w:hAnsi="Calibri"/>
          <w:color w:val="222222"/>
          <w:sz w:val="22"/>
          <w:szCs w:val="22"/>
        </w:rPr>
        <w:t>/0</w:t>
      </w:r>
      <w:r>
        <w:rPr>
          <w:rFonts w:ascii="Calibri" w:hAnsi="Calibri"/>
          <w:color w:val="222222"/>
          <w:sz w:val="22"/>
          <w:szCs w:val="22"/>
        </w:rPr>
        <w:t>5</w:t>
      </w:r>
      <w:r w:rsidRPr="001A16FB">
        <w:rPr>
          <w:rFonts w:ascii="Calibri" w:hAnsi="Calibri"/>
          <w:color w:val="222222"/>
          <w:sz w:val="22"/>
          <w:szCs w:val="22"/>
        </w:rPr>
        <w:t>/2019, DOU 2</w:t>
      </w:r>
      <w:r>
        <w:rPr>
          <w:rFonts w:ascii="Calibri" w:hAnsi="Calibri"/>
          <w:color w:val="222222"/>
          <w:sz w:val="22"/>
          <w:szCs w:val="22"/>
        </w:rPr>
        <w:t>8</w:t>
      </w:r>
      <w:r w:rsidRPr="001A16FB">
        <w:rPr>
          <w:rFonts w:ascii="Calibri" w:hAnsi="Calibri"/>
          <w:color w:val="222222"/>
          <w:sz w:val="22"/>
          <w:szCs w:val="22"/>
        </w:rPr>
        <w:t>/0</w:t>
      </w:r>
      <w:r>
        <w:rPr>
          <w:rFonts w:ascii="Calibri" w:hAnsi="Calibri"/>
          <w:color w:val="222222"/>
          <w:sz w:val="22"/>
          <w:szCs w:val="22"/>
        </w:rPr>
        <w:t>5</w:t>
      </w:r>
      <w:r w:rsidRPr="001A16FB">
        <w:rPr>
          <w:rFonts w:ascii="Calibri" w:hAnsi="Calibri"/>
          <w:color w:val="222222"/>
          <w:sz w:val="22"/>
          <w:szCs w:val="22"/>
        </w:rPr>
        <w:t>/2019).</w:t>
      </w:r>
    </w:p>
    <w:p w:rsidR="001A16FB" w:rsidRDefault="001A16FB" w:rsidP="001A16FB">
      <w:pPr>
        <w:shd w:val="clear" w:color="auto" w:fill="FFFFFF"/>
        <w:spacing w:after="0" w:line="240" w:lineRule="auto"/>
        <w:rPr>
          <w:sz w:val="22"/>
          <w:szCs w:val="22"/>
        </w:rPr>
      </w:pPr>
      <w:r w:rsidRPr="00050FE8">
        <w:rPr>
          <w:sz w:val="22"/>
          <w:szCs w:val="22"/>
        </w:rPr>
        <w:t xml:space="preserve"> </w:t>
      </w:r>
    </w:p>
    <w:p w:rsidR="001A16FB" w:rsidRDefault="001A16FB" w:rsidP="00A0419E">
      <w:pPr>
        <w:rPr>
          <w:sz w:val="24"/>
          <w:szCs w:val="24"/>
        </w:rPr>
      </w:pPr>
    </w:p>
    <w:p w:rsidR="001A16FB" w:rsidRDefault="001A16FB" w:rsidP="00A0419E">
      <w:pPr>
        <w:rPr>
          <w:sz w:val="24"/>
          <w:szCs w:val="24"/>
        </w:rPr>
      </w:pPr>
    </w:p>
    <w:p w:rsidR="00FD33B2" w:rsidRPr="008A2172" w:rsidRDefault="00FD33B2" w:rsidP="00A0419E">
      <w:pPr>
        <w:rPr>
          <w:b/>
          <w:sz w:val="22"/>
          <w:szCs w:val="22"/>
        </w:rPr>
      </w:pPr>
    </w:p>
    <w:p w:rsidR="004B04C0" w:rsidRDefault="004B04C0" w:rsidP="009E4F06">
      <w:pPr>
        <w:shd w:val="clear" w:color="auto" w:fill="FFFFFF"/>
        <w:spacing w:after="0" w:line="240" w:lineRule="auto"/>
        <w:rPr>
          <w:b/>
          <w:sz w:val="22"/>
          <w:szCs w:val="22"/>
        </w:rPr>
      </w:pPr>
      <w:bookmarkStart w:id="1" w:name="_Hlk7800649"/>
      <w:bookmarkStart w:id="2" w:name="_Hlk9005991"/>
    </w:p>
    <w:bookmarkEnd w:id="1"/>
    <w:p w:rsidR="00541BCE" w:rsidRDefault="002C429C" w:rsidP="00DE3B9E">
      <w:pPr>
        <w:shd w:val="clear" w:color="auto" w:fill="FFFFFF"/>
        <w:spacing w:after="0" w:line="240" w:lineRule="auto"/>
        <w:rPr>
          <w:rFonts w:cs="Arial"/>
          <w:color w:val="222222"/>
          <w:sz w:val="22"/>
          <w:szCs w:val="22"/>
        </w:rPr>
      </w:pPr>
      <w:r>
        <w:rPr>
          <w:b/>
          <w:sz w:val="22"/>
          <w:szCs w:val="22"/>
        </w:rPr>
        <w:t>FIOS TEXTEIS DE FILAMENTOS CONTINUOS DE NYLON</w:t>
      </w:r>
      <w:r w:rsidR="007468D7" w:rsidRPr="002C429C">
        <w:rPr>
          <w:rFonts w:eastAsia="Times New Roman" w:cs="Arial"/>
          <w:b/>
          <w:bCs/>
          <w:sz w:val="22"/>
          <w:szCs w:val="22"/>
          <w:lang w:eastAsia="pt-BR"/>
        </w:rPr>
        <w:t xml:space="preserve"> (NCM </w:t>
      </w:r>
      <w:r w:rsidRPr="002C429C">
        <w:rPr>
          <w:rFonts w:cs="Arial"/>
          <w:b/>
          <w:bCs/>
          <w:sz w:val="22"/>
          <w:szCs w:val="22"/>
        </w:rPr>
        <w:t>5402.31.11, 5402.31.19 e 5402.45.20</w:t>
      </w:r>
      <w:r w:rsidR="007468D7" w:rsidRPr="002C429C">
        <w:rPr>
          <w:rFonts w:eastAsia="Times New Roman" w:cs="Arial"/>
          <w:b/>
          <w:bCs/>
          <w:sz w:val="22"/>
          <w:szCs w:val="22"/>
          <w:lang w:eastAsia="pt-BR"/>
        </w:rPr>
        <w:t>)</w:t>
      </w:r>
      <w:r w:rsidR="007468D7" w:rsidRPr="002C429C">
        <w:rPr>
          <w:rFonts w:eastAsia="Times New Roman" w:cs="Arial"/>
          <w:sz w:val="22"/>
          <w:szCs w:val="22"/>
          <w:lang w:eastAsia="pt-BR"/>
        </w:rPr>
        <w:t xml:space="preserve"> – A SECEX </w:t>
      </w:r>
      <w:r>
        <w:rPr>
          <w:rFonts w:cs="Arial"/>
          <w:sz w:val="22"/>
          <w:szCs w:val="22"/>
        </w:rPr>
        <w:t>p</w:t>
      </w:r>
      <w:r w:rsidRPr="002C429C">
        <w:rPr>
          <w:rFonts w:cs="Arial"/>
          <w:sz w:val="22"/>
          <w:szCs w:val="22"/>
        </w:rPr>
        <w:t>rorrog</w:t>
      </w:r>
      <w:r>
        <w:rPr>
          <w:rFonts w:cs="Arial"/>
          <w:sz w:val="22"/>
          <w:szCs w:val="22"/>
        </w:rPr>
        <w:t>ou até</w:t>
      </w:r>
      <w:r w:rsidRPr="002C429C">
        <w:rPr>
          <w:rFonts w:cs="Arial"/>
          <w:sz w:val="22"/>
          <w:szCs w:val="22"/>
        </w:rPr>
        <w:t xml:space="preserve"> 2</w:t>
      </w:r>
      <w:r>
        <w:rPr>
          <w:rFonts w:cs="Arial"/>
          <w:sz w:val="22"/>
          <w:szCs w:val="22"/>
        </w:rPr>
        <w:t>3</w:t>
      </w:r>
      <w:r w:rsidRPr="002C429C">
        <w:rPr>
          <w:rFonts w:cs="Arial"/>
          <w:sz w:val="22"/>
          <w:szCs w:val="22"/>
        </w:rPr>
        <w:t xml:space="preserve"> de </w:t>
      </w:r>
      <w:r>
        <w:rPr>
          <w:rFonts w:cs="Arial"/>
          <w:sz w:val="22"/>
          <w:szCs w:val="22"/>
        </w:rPr>
        <w:t>dezembro</w:t>
      </w:r>
      <w:r w:rsidRPr="002C429C">
        <w:rPr>
          <w:rFonts w:cs="Arial"/>
          <w:sz w:val="22"/>
          <w:szCs w:val="22"/>
        </w:rPr>
        <w:t xml:space="preserve"> de 2019, o prazo para conclusão da revisão de final de período do direito antidumping aplicado às </w:t>
      </w:r>
      <w:r>
        <w:rPr>
          <w:rFonts w:cs="Arial"/>
          <w:sz w:val="22"/>
          <w:szCs w:val="22"/>
        </w:rPr>
        <w:t>im</w:t>
      </w:r>
      <w:r w:rsidRPr="002C429C">
        <w:rPr>
          <w:rFonts w:cs="Arial"/>
          <w:sz w:val="22"/>
          <w:szCs w:val="22"/>
        </w:rPr>
        <w:t xml:space="preserve">portações  de fios têxteis de filamentos contínuos de náilon (poliamida 6, poliamida 6,6) de título inferior a 50 </w:t>
      </w:r>
      <w:proofErr w:type="spellStart"/>
      <w:r w:rsidRPr="002C429C">
        <w:rPr>
          <w:rFonts w:cs="Arial"/>
          <w:sz w:val="22"/>
          <w:szCs w:val="22"/>
        </w:rPr>
        <w:t>tex</w:t>
      </w:r>
      <w:proofErr w:type="spellEnd"/>
      <w:r w:rsidRPr="002C429C">
        <w:rPr>
          <w:rFonts w:cs="Arial"/>
          <w:sz w:val="22"/>
          <w:szCs w:val="22"/>
        </w:rPr>
        <w:t xml:space="preserve">, qualquer número de filamentos, perfil ou </w:t>
      </w:r>
      <w:proofErr w:type="spellStart"/>
      <w:r w:rsidRPr="002C429C">
        <w:rPr>
          <w:rFonts w:cs="Arial"/>
          <w:sz w:val="22"/>
          <w:szCs w:val="22"/>
        </w:rPr>
        <w:t>maticidade</w:t>
      </w:r>
      <w:proofErr w:type="spellEnd"/>
      <w:r w:rsidRPr="002C429C">
        <w:rPr>
          <w:rFonts w:cs="Arial"/>
          <w:sz w:val="22"/>
          <w:szCs w:val="22"/>
        </w:rPr>
        <w:t xml:space="preserve"> (brilhante, opaco ou </w:t>
      </w:r>
      <w:proofErr w:type="spellStart"/>
      <w:r w:rsidRPr="002C429C">
        <w:rPr>
          <w:rFonts w:cs="Arial"/>
          <w:sz w:val="22"/>
          <w:szCs w:val="22"/>
        </w:rPr>
        <w:t>semi-opaco</w:t>
      </w:r>
      <w:proofErr w:type="spellEnd"/>
      <w:r w:rsidRPr="002C429C">
        <w:rPr>
          <w:rFonts w:cs="Arial"/>
          <w:sz w:val="22"/>
          <w:szCs w:val="22"/>
        </w:rPr>
        <w:t xml:space="preserve">), lisos ou texturizados, sem torção ou com torção inferior a 50 voltas por metro, tintos, crus ou branqueados (fios de náilon), </w:t>
      </w:r>
      <w:r>
        <w:rPr>
          <w:rFonts w:cs="Arial"/>
          <w:sz w:val="22"/>
          <w:szCs w:val="22"/>
        </w:rPr>
        <w:t>NCM</w:t>
      </w:r>
      <w:r w:rsidRPr="002C429C">
        <w:rPr>
          <w:rFonts w:cs="Arial"/>
          <w:sz w:val="22"/>
          <w:szCs w:val="22"/>
        </w:rPr>
        <w:t xml:space="preserve"> 5402.31.11, 5402.31.19 e 5402.45.20</w:t>
      </w:r>
      <w:r>
        <w:rPr>
          <w:rFonts w:cs="Arial"/>
          <w:sz w:val="22"/>
          <w:szCs w:val="22"/>
        </w:rPr>
        <w:t>,</w:t>
      </w:r>
      <w:r w:rsidRPr="002C429C">
        <w:rPr>
          <w:rFonts w:cs="Arial"/>
          <w:sz w:val="22"/>
          <w:szCs w:val="22"/>
        </w:rPr>
        <w:t xml:space="preserve"> originárias da China, da Coreia do Sul e de Taipé</w:t>
      </w:r>
      <w:r>
        <w:rPr>
          <w:rFonts w:cs="Arial"/>
          <w:sz w:val="22"/>
          <w:szCs w:val="22"/>
        </w:rPr>
        <w:t xml:space="preserve">. No mesmo ato, </w:t>
      </w:r>
      <w:r w:rsidR="00BF64CC">
        <w:rPr>
          <w:rFonts w:eastAsia="Times New Roman" w:cs="Arial"/>
          <w:color w:val="222222"/>
          <w:sz w:val="22"/>
          <w:szCs w:val="22"/>
          <w:lang w:eastAsia="pt-BR"/>
        </w:rPr>
        <w:t xml:space="preserve">divulgou </w:t>
      </w:r>
      <w:r w:rsidR="00BF64CC" w:rsidRPr="004B04C0">
        <w:rPr>
          <w:sz w:val="22"/>
          <w:szCs w:val="22"/>
        </w:rPr>
        <w:t>os prazos que servirão de parâmetro para o restante</w:t>
      </w:r>
      <w:r w:rsidR="00541BCE" w:rsidRPr="00541BCE">
        <w:rPr>
          <w:sz w:val="22"/>
          <w:szCs w:val="22"/>
        </w:rPr>
        <w:t xml:space="preserve"> da revisão</w:t>
      </w:r>
      <w:r>
        <w:rPr>
          <w:sz w:val="22"/>
          <w:szCs w:val="22"/>
        </w:rPr>
        <w:t>, conforme tabela abaixo</w:t>
      </w:r>
      <w:r w:rsidR="00350FC6">
        <w:rPr>
          <w:sz w:val="22"/>
          <w:szCs w:val="22"/>
        </w:rPr>
        <w:t xml:space="preserve">. </w:t>
      </w:r>
      <w:r w:rsidR="00287275">
        <w:rPr>
          <w:sz w:val="22"/>
          <w:szCs w:val="22"/>
        </w:rPr>
        <w:t xml:space="preserve"> </w:t>
      </w:r>
      <w:r w:rsidR="00541BCE" w:rsidRPr="006A7500">
        <w:rPr>
          <w:rFonts w:cs="Arial"/>
          <w:color w:val="222222"/>
          <w:sz w:val="22"/>
          <w:szCs w:val="22"/>
        </w:rPr>
        <w:t xml:space="preserve">A mercadoria segue sujeita a licenciamento, com controle do DECEX, desde </w:t>
      </w:r>
      <w:r w:rsidR="00350FC6">
        <w:rPr>
          <w:rFonts w:cs="Arial"/>
          <w:color w:val="222222"/>
          <w:sz w:val="22"/>
          <w:szCs w:val="22"/>
        </w:rPr>
        <w:t>2012</w:t>
      </w:r>
      <w:r w:rsidR="00541BCE" w:rsidRPr="006A7500">
        <w:rPr>
          <w:rFonts w:cs="Arial"/>
          <w:color w:val="222222"/>
          <w:sz w:val="22"/>
          <w:szCs w:val="22"/>
        </w:rPr>
        <w:t xml:space="preserve">. (Circular SECEX nº </w:t>
      </w:r>
      <w:r w:rsidR="00DE3B9E">
        <w:rPr>
          <w:rFonts w:cs="Arial"/>
          <w:color w:val="222222"/>
          <w:sz w:val="22"/>
          <w:szCs w:val="22"/>
        </w:rPr>
        <w:t>3</w:t>
      </w:r>
      <w:r>
        <w:rPr>
          <w:rFonts w:cs="Arial"/>
          <w:color w:val="222222"/>
          <w:sz w:val="22"/>
          <w:szCs w:val="22"/>
        </w:rPr>
        <w:t>5</w:t>
      </w:r>
      <w:r w:rsidR="00541BCE" w:rsidRPr="006A7500">
        <w:rPr>
          <w:rFonts w:cs="Arial"/>
          <w:color w:val="222222"/>
          <w:sz w:val="22"/>
          <w:szCs w:val="22"/>
        </w:rPr>
        <w:t xml:space="preserve">, de </w:t>
      </w:r>
      <w:r>
        <w:rPr>
          <w:rFonts w:cs="Arial"/>
          <w:color w:val="222222"/>
          <w:sz w:val="22"/>
          <w:szCs w:val="22"/>
        </w:rPr>
        <w:t>2</w:t>
      </w:r>
      <w:r w:rsidR="00DE3B9E">
        <w:rPr>
          <w:rFonts w:cs="Arial"/>
          <w:color w:val="222222"/>
          <w:sz w:val="22"/>
          <w:szCs w:val="22"/>
        </w:rPr>
        <w:t>7</w:t>
      </w:r>
      <w:r w:rsidR="00541BCE" w:rsidRPr="006A7500">
        <w:rPr>
          <w:rFonts w:cs="Arial"/>
          <w:color w:val="222222"/>
          <w:sz w:val="22"/>
          <w:szCs w:val="22"/>
        </w:rPr>
        <w:t xml:space="preserve">/05/2019, DOU </w:t>
      </w:r>
      <w:r w:rsidR="00DE3B9E">
        <w:rPr>
          <w:rFonts w:cs="Arial"/>
          <w:color w:val="222222"/>
          <w:sz w:val="22"/>
          <w:szCs w:val="22"/>
        </w:rPr>
        <w:t>2</w:t>
      </w:r>
      <w:r>
        <w:rPr>
          <w:rFonts w:cs="Arial"/>
          <w:color w:val="222222"/>
          <w:sz w:val="22"/>
          <w:szCs w:val="22"/>
        </w:rPr>
        <w:t>8</w:t>
      </w:r>
      <w:r w:rsidR="00541BCE" w:rsidRPr="006A7500">
        <w:rPr>
          <w:rFonts w:cs="Arial"/>
          <w:color w:val="222222"/>
          <w:sz w:val="22"/>
          <w:szCs w:val="22"/>
        </w:rPr>
        <w:t>/05/2019)</w:t>
      </w:r>
    </w:p>
    <w:bookmarkEnd w:id="0"/>
    <w:p w:rsidR="002C429C" w:rsidRDefault="002C429C" w:rsidP="00DE3B9E">
      <w:pPr>
        <w:shd w:val="clear" w:color="auto" w:fill="FFFFFF"/>
        <w:spacing w:after="0" w:line="240" w:lineRule="auto"/>
        <w:rPr>
          <w:rFonts w:cs="Arial"/>
          <w:color w:val="222222"/>
          <w:sz w:val="22"/>
          <w:szCs w:val="22"/>
        </w:rPr>
      </w:pPr>
    </w:p>
    <w:p w:rsidR="002C429C" w:rsidRDefault="002C429C" w:rsidP="00DE3B9E">
      <w:pPr>
        <w:shd w:val="clear" w:color="auto" w:fill="FFFFFF"/>
        <w:spacing w:after="0" w:line="240" w:lineRule="auto"/>
        <w:rPr>
          <w:rFonts w:cs="Arial"/>
          <w:color w:val="222222"/>
          <w:sz w:val="22"/>
          <w:szCs w:val="22"/>
        </w:rPr>
      </w:pPr>
    </w:p>
    <w:p w:rsidR="002C429C" w:rsidRPr="00050FE8" w:rsidRDefault="002C429C" w:rsidP="002C429C">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tbl>
      <w:tblPr>
        <w:tblW w:w="85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5618"/>
        <w:gridCol w:w="1152"/>
      </w:tblGrid>
      <w:tr w:rsidR="002C429C" w:rsidRPr="00050FE8" w:rsidTr="002C429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Disposição legal</w:t>
            </w:r>
          </w:p>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Decreto n </w:t>
            </w:r>
            <w:r w:rsidRPr="00050FE8">
              <w:rPr>
                <w:rFonts w:asciiTheme="minorHAnsi" w:hAnsiTheme="minorHAnsi"/>
                <w:sz w:val="22"/>
                <w:szCs w:val="22"/>
                <w:u w:val="single"/>
              </w:rPr>
              <w:t>o</w:t>
            </w:r>
            <w:r w:rsidRPr="00050FE8">
              <w:rPr>
                <w:rFonts w:asciiTheme="minorHAnsi" w:hAnsiTheme="minorHAnsi"/>
                <w:sz w:val="22"/>
                <w:szCs w:val="22"/>
              </w:rPr>
              <w:t> 8.058/2013</w:t>
            </w:r>
          </w:p>
        </w:tc>
        <w:tc>
          <w:tcPr>
            <w:tcW w:w="0" w:type="auto"/>
            <w:tcMar>
              <w:top w:w="45" w:type="dxa"/>
              <w:left w:w="45" w:type="dxa"/>
              <w:bottom w:w="45" w:type="dxa"/>
              <w:right w:w="45" w:type="dxa"/>
            </w:tcMar>
            <w:vAlign w:val="center"/>
            <w:hideMark/>
          </w:tcPr>
          <w:p w:rsidR="002C429C" w:rsidRPr="00050FE8" w:rsidRDefault="002C429C" w:rsidP="002C429C">
            <w:pPr>
              <w:pStyle w:val="dou-paragraph"/>
              <w:spacing w:before="0" w:beforeAutospacing="0" w:after="0" w:afterAutospacing="0"/>
              <w:jc w:val="center"/>
              <w:rPr>
                <w:rFonts w:asciiTheme="minorHAnsi" w:hAnsiTheme="minorHAnsi"/>
                <w:sz w:val="22"/>
                <w:szCs w:val="22"/>
              </w:rPr>
            </w:pPr>
            <w:r>
              <w:rPr>
                <w:rFonts w:asciiTheme="minorHAnsi" w:hAnsiTheme="minorHAnsi"/>
                <w:sz w:val="22"/>
                <w:szCs w:val="22"/>
              </w:rPr>
              <w:t>Atividades</w:t>
            </w:r>
          </w:p>
        </w:t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Pr>
                <w:rFonts w:asciiTheme="minorHAnsi" w:hAnsiTheme="minorHAnsi"/>
                <w:sz w:val="22"/>
                <w:szCs w:val="22"/>
              </w:rPr>
              <w:t>Prazos</w:t>
            </w:r>
          </w:p>
        </w:tc>
      </w:tr>
      <w:tr w:rsidR="002C429C" w:rsidRPr="00050FE8" w:rsidTr="002C429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w:t>
            </w:r>
          </w:p>
        </w:tc>
        <w:tc>
          <w:tcPr>
            <w:tcW w:w="0" w:type="auto"/>
            <w:tcMar>
              <w:top w:w="45" w:type="dxa"/>
              <w:left w:w="45" w:type="dxa"/>
              <w:bottom w:w="45" w:type="dxa"/>
              <w:right w:w="45" w:type="dxa"/>
            </w:tcMar>
            <w:vAlign w:val="center"/>
            <w:hideMark/>
          </w:tcPr>
          <w:p w:rsidR="002C429C" w:rsidRPr="00050FE8" w:rsidRDefault="002C429C" w:rsidP="002C429C">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Expedição, pela SDCOM, do parecer de determinação preliminar.</w:t>
            </w:r>
          </w:p>
        </w:t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29/08/2019</w:t>
            </w:r>
          </w:p>
        </w:tc>
      </w:tr>
      <w:tr w:rsidR="002C429C" w:rsidRPr="00050FE8" w:rsidTr="002C429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59</w:t>
            </w:r>
          </w:p>
        </w:tc>
        <w:tc>
          <w:tcPr>
            <w:tcW w:w="0" w:type="auto"/>
            <w:tcMar>
              <w:top w:w="45" w:type="dxa"/>
              <w:left w:w="45" w:type="dxa"/>
              <w:bottom w:w="45" w:type="dxa"/>
              <w:right w:w="45" w:type="dxa"/>
            </w:tcMar>
            <w:vAlign w:val="center"/>
            <w:hideMark/>
          </w:tcPr>
          <w:p w:rsidR="002C429C" w:rsidRPr="00050FE8" w:rsidRDefault="002C429C" w:rsidP="002C429C">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Encerramento da fase probatória da revisão.</w:t>
            </w:r>
          </w:p>
        </w:t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19/09/2019</w:t>
            </w:r>
          </w:p>
        </w:tc>
      </w:tr>
      <w:tr w:rsidR="002C429C" w:rsidRPr="00050FE8" w:rsidTr="002C429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60</w:t>
            </w:r>
          </w:p>
        </w:tc>
        <w:tc>
          <w:tcPr>
            <w:tcW w:w="0" w:type="auto"/>
            <w:tcMar>
              <w:top w:w="45" w:type="dxa"/>
              <w:left w:w="45" w:type="dxa"/>
              <w:bottom w:w="45" w:type="dxa"/>
              <w:right w:w="45" w:type="dxa"/>
            </w:tcMar>
            <w:vAlign w:val="center"/>
            <w:hideMark/>
          </w:tcPr>
          <w:p w:rsidR="002C429C" w:rsidRPr="00050FE8" w:rsidRDefault="002C429C" w:rsidP="002C429C">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Encerramento da fase de manifestação sobre os dados e as informações constantes dos autos.</w:t>
            </w:r>
          </w:p>
        </w:t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09/10/2019</w:t>
            </w:r>
          </w:p>
        </w:tc>
      </w:tr>
      <w:tr w:rsidR="002C429C" w:rsidRPr="00050FE8" w:rsidTr="002C429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61</w:t>
            </w:r>
          </w:p>
        </w:tc>
        <w:tc>
          <w:tcPr>
            <w:tcW w:w="0" w:type="auto"/>
            <w:tcMar>
              <w:top w:w="45" w:type="dxa"/>
              <w:left w:w="45" w:type="dxa"/>
              <w:bottom w:w="45" w:type="dxa"/>
              <w:right w:w="45" w:type="dxa"/>
            </w:tcMar>
            <w:vAlign w:val="center"/>
            <w:hideMark/>
          </w:tcPr>
          <w:p w:rsidR="002C429C" w:rsidRPr="00050FE8" w:rsidRDefault="002C429C" w:rsidP="002C429C">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Divulgação da nota técnica contendo os fatos essenciais que se encontram em análise e que serão considerados na determinação final.</w:t>
            </w:r>
          </w:p>
        </w:t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30/10/2019</w:t>
            </w:r>
          </w:p>
        </w:tc>
      </w:tr>
      <w:tr w:rsidR="002C429C" w:rsidRPr="00050FE8" w:rsidTr="002C429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62</w:t>
            </w:r>
          </w:p>
        </w:tc>
        <w:tc>
          <w:tcPr>
            <w:tcW w:w="0" w:type="auto"/>
            <w:tcMar>
              <w:top w:w="45" w:type="dxa"/>
              <w:left w:w="45" w:type="dxa"/>
              <w:bottom w:w="45" w:type="dxa"/>
              <w:right w:w="45" w:type="dxa"/>
            </w:tcMar>
            <w:vAlign w:val="center"/>
            <w:hideMark/>
          </w:tcPr>
          <w:p w:rsidR="002C429C" w:rsidRPr="00050FE8" w:rsidRDefault="002C429C" w:rsidP="002C429C">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Encerramento do prazo para apresentação das manifestações finais pelas partes interessadas e Encerramento da fase de instrução do processo.</w:t>
            </w:r>
          </w:p>
        </w:t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19/11/2019</w:t>
            </w:r>
          </w:p>
        </w:tc>
      </w:tr>
      <w:tr w:rsidR="002C429C" w:rsidRPr="00050FE8" w:rsidTr="002C429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63</w:t>
            </w:r>
          </w:p>
        </w:tc>
        <w:tc>
          <w:tcPr>
            <w:tcW w:w="0" w:type="auto"/>
            <w:tcMar>
              <w:top w:w="45" w:type="dxa"/>
              <w:left w:w="45" w:type="dxa"/>
              <w:bottom w:w="45" w:type="dxa"/>
              <w:right w:w="45" w:type="dxa"/>
            </w:tcMar>
            <w:vAlign w:val="center"/>
            <w:hideMark/>
          </w:tcPr>
          <w:p w:rsidR="002C429C" w:rsidRPr="00050FE8" w:rsidRDefault="002C429C" w:rsidP="002C429C">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Expedição, pela SDCOM, do parecer de determinação final.</w:t>
            </w:r>
          </w:p>
        </w:tc>
        <w:tc>
          <w:tcPr>
            <w:tcW w:w="0" w:type="auto"/>
            <w:tcMar>
              <w:top w:w="45" w:type="dxa"/>
              <w:left w:w="45" w:type="dxa"/>
              <w:bottom w:w="45" w:type="dxa"/>
              <w:right w:w="45" w:type="dxa"/>
            </w:tcMar>
            <w:vAlign w:val="center"/>
            <w:hideMark/>
          </w:tcPr>
          <w:p w:rsidR="002C429C" w:rsidRPr="00050FE8" w:rsidRDefault="002C429C" w:rsidP="00571AB7">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04/12/2019</w:t>
            </w:r>
          </w:p>
        </w:tc>
      </w:tr>
    </w:tbl>
    <w:p w:rsidR="002C429C" w:rsidRDefault="002C429C" w:rsidP="00DE3B9E">
      <w:pPr>
        <w:shd w:val="clear" w:color="auto" w:fill="FFFFFF"/>
        <w:spacing w:after="0" w:line="240" w:lineRule="auto"/>
        <w:rPr>
          <w:rFonts w:cs="Arial"/>
          <w:color w:val="222222"/>
          <w:sz w:val="22"/>
          <w:szCs w:val="22"/>
        </w:rPr>
      </w:pPr>
    </w:p>
    <w:bookmarkEnd w:id="2"/>
    <w:p w:rsidR="005A00FF" w:rsidRDefault="005A00FF" w:rsidP="005A00FF">
      <w:pPr>
        <w:shd w:val="clear" w:color="auto" w:fill="FFFFFF"/>
        <w:spacing w:after="0" w:line="240" w:lineRule="auto"/>
        <w:rPr>
          <w:b/>
          <w:sz w:val="48"/>
          <w:szCs w:val="48"/>
        </w:rPr>
      </w:pPr>
    </w:p>
    <w:p w:rsidR="00A035C5" w:rsidRDefault="00A035C5" w:rsidP="005A00FF">
      <w:pPr>
        <w:shd w:val="clear" w:color="auto" w:fill="FFFFFF"/>
        <w:spacing w:after="0" w:line="240" w:lineRule="auto"/>
        <w:rPr>
          <w:b/>
          <w:sz w:val="48"/>
          <w:szCs w:val="48"/>
        </w:rPr>
      </w:pPr>
    </w:p>
    <w:p w:rsidR="005A00FF" w:rsidRDefault="005A00FF" w:rsidP="005A00FF">
      <w:pPr>
        <w:shd w:val="clear" w:color="auto" w:fill="FFFFFF"/>
        <w:spacing w:after="0" w:line="240" w:lineRule="auto"/>
        <w:rPr>
          <w:b/>
          <w:sz w:val="48"/>
          <w:szCs w:val="48"/>
        </w:rPr>
      </w:pPr>
    </w:p>
    <w:p w:rsidR="007D502C" w:rsidRDefault="004F777B" w:rsidP="00666F07">
      <w:pPr>
        <w:shd w:val="clear" w:color="auto" w:fill="FFFFFF"/>
        <w:spacing w:after="0" w:line="240" w:lineRule="auto"/>
        <w:jc w:val="center"/>
        <w:rPr>
          <w:b/>
          <w:sz w:val="48"/>
          <w:szCs w:val="48"/>
        </w:rPr>
      </w:pPr>
      <w:r w:rsidRPr="00654A76">
        <w:rPr>
          <w:b/>
          <w:sz w:val="48"/>
          <w:szCs w:val="48"/>
        </w:rPr>
        <w:t>ANEXO</w:t>
      </w:r>
      <w:bookmarkStart w:id="3" w:name="_GoBack"/>
      <w:bookmarkEnd w:id="3"/>
    </w:p>
    <w:p w:rsidR="00541BCE" w:rsidRDefault="00541BCE" w:rsidP="00314F03">
      <w:pPr>
        <w:shd w:val="clear" w:color="auto" w:fill="FFFFFF"/>
        <w:spacing w:after="0" w:line="240" w:lineRule="auto"/>
      </w:pPr>
    </w:p>
    <w:p w:rsidR="00050FE8" w:rsidRPr="00050FE8" w:rsidRDefault="00173EF2" w:rsidP="00050FE8">
      <w:pPr>
        <w:shd w:val="clear" w:color="auto" w:fill="FFFFFF"/>
        <w:spacing w:after="0" w:line="240" w:lineRule="auto"/>
        <w:jc w:val="center"/>
        <w:rPr>
          <w:b/>
          <w:bCs/>
          <w:sz w:val="22"/>
          <w:szCs w:val="22"/>
        </w:rPr>
      </w:pPr>
      <w:r w:rsidRPr="00050FE8">
        <w:rPr>
          <w:b/>
          <w:bCs/>
          <w:sz w:val="22"/>
          <w:szCs w:val="22"/>
        </w:rPr>
        <w:t>CIRCULAR</w:t>
      </w:r>
      <w:r w:rsidR="00050FE8" w:rsidRPr="00050FE8">
        <w:rPr>
          <w:b/>
          <w:bCs/>
          <w:sz w:val="22"/>
          <w:szCs w:val="22"/>
        </w:rPr>
        <w:t xml:space="preserve"> SECEX</w:t>
      </w:r>
      <w:r w:rsidRPr="00050FE8">
        <w:rPr>
          <w:b/>
          <w:bCs/>
          <w:sz w:val="22"/>
          <w:szCs w:val="22"/>
        </w:rPr>
        <w:t xml:space="preserve"> Nº 33, DE 27 DE MAIO DE 2019 (DOU 28/5/2019)</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promulgado pelo Decreto no 1.355, de 30 de dezembro de 1994, e regulamentado pelo Decreto no8.058, de 26 de julho de 2013, considerando o estabelecido no Art. 2o da Resolução CAMEX no 82, de 17 de outubro de 2017, publicada no Diário Oficial da União - D.O.U. de 18 de outubro de 2017, que homologou compromisso de preços, nos termos constantes dos Anexos I e II da Resolução no 82, de 2017, para amparar as importações brasileiras de ácido cítrico, citrato de sódio, citrato de potássio, citrato de cálcio e suas misturas, comumente classificados nos itens 2918.14.00 e 2918.15.00 da Nomenclatura Comum do MERCOSUL - NCM, fabricado pelas empresas COFCO </w:t>
      </w:r>
      <w:proofErr w:type="spellStart"/>
      <w:r w:rsidRPr="00050FE8">
        <w:rPr>
          <w:sz w:val="22"/>
          <w:szCs w:val="22"/>
        </w:rPr>
        <w:t>Biochemical</w:t>
      </w:r>
      <w:proofErr w:type="spellEnd"/>
      <w:r w:rsidRPr="00050FE8">
        <w:rPr>
          <w:sz w:val="22"/>
          <w:szCs w:val="22"/>
        </w:rPr>
        <w:t xml:space="preserve"> (</w:t>
      </w:r>
      <w:proofErr w:type="spellStart"/>
      <w:r w:rsidRPr="00050FE8">
        <w:rPr>
          <w:sz w:val="22"/>
          <w:szCs w:val="22"/>
        </w:rPr>
        <w:t>Anhui</w:t>
      </w:r>
      <w:proofErr w:type="spellEnd"/>
      <w:r w:rsidRPr="00050FE8">
        <w:rPr>
          <w:sz w:val="22"/>
          <w:szCs w:val="22"/>
        </w:rPr>
        <w:t xml:space="preserve">), COFCO </w:t>
      </w:r>
      <w:proofErr w:type="spellStart"/>
      <w:r w:rsidRPr="00050FE8">
        <w:rPr>
          <w:sz w:val="22"/>
          <w:szCs w:val="22"/>
        </w:rPr>
        <w:t>Biochemical</w:t>
      </w:r>
      <w:proofErr w:type="spellEnd"/>
      <w:r w:rsidRPr="00050FE8">
        <w:rPr>
          <w:sz w:val="22"/>
          <w:szCs w:val="22"/>
        </w:rPr>
        <w:t xml:space="preserve"> (</w:t>
      </w:r>
      <w:proofErr w:type="spellStart"/>
      <w:r w:rsidRPr="00050FE8">
        <w:rPr>
          <w:sz w:val="22"/>
          <w:szCs w:val="22"/>
        </w:rPr>
        <w:t>Maanshan</w:t>
      </w:r>
      <w:proofErr w:type="spellEnd"/>
      <w:r w:rsidRPr="00050FE8">
        <w:rPr>
          <w:sz w:val="22"/>
          <w:szCs w:val="22"/>
        </w:rPr>
        <w:t xml:space="preserve">) Co. </w:t>
      </w:r>
      <w:proofErr w:type="spellStart"/>
      <w:r w:rsidRPr="00050FE8">
        <w:rPr>
          <w:sz w:val="22"/>
          <w:szCs w:val="22"/>
        </w:rPr>
        <w:t>Ltd</w:t>
      </w:r>
      <w:proofErr w:type="spellEnd"/>
      <w:r w:rsidRPr="00050FE8">
        <w:rPr>
          <w:sz w:val="22"/>
          <w:szCs w:val="22"/>
        </w:rPr>
        <w:t>. e RZBC (</w:t>
      </w:r>
      <w:proofErr w:type="spellStart"/>
      <w:r w:rsidRPr="00050FE8">
        <w:rPr>
          <w:sz w:val="22"/>
          <w:szCs w:val="22"/>
        </w:rPr>
        <w:t>Juxian</w:t>
      </w:r>
      <w:proofErr w:type="spellEnd"/>
      <w:r w:rsidRPr="00050FE8">
        <w:rPr>
          <w:sz w:val="22"/>
          <w:szCs w:val="22"/>
        </w:rPr>
        <w:t xml:space="preserve">) Co. </w:t>
      </w:r>
      <w:proofErr w:type="spellStart"/>
      <w:r w:rsidRPr="00050FE8">
        <w:rPr>
          <w:sz w:val="22"/>
          <w:szCs w:val="22"/>
        </w:rPr>
        <w:t>Ltd</w:t>
      </w:r>
      <w:proofErr w:type="spellEnd"/>
      <w:r w:rsidRPr="00050FE8">
        <w:rPr>
          <w:sz w:val="22"/>
          <w:szCs w:val="22"/>
        </w:rPr>
        <w:t xml:space="preserve">. e exportado para o Brasil diretamente ou via trading </w:t>
      </w:r>
      <w:proofErr w:type="spellStart"/>
      <w:r w:rsidRPr="00050FE8">
        <w:rPr>
          <w:sz w:val="22"/>
          <w:szCs w:val="22"/>
        </w:rPr>
        <w:t>company</w:t>
      </w:r>
      <w:proofErr w:type="spellEnd"/>
      <w:r w:rsidRPr="00050FE8">
        <w:rPr>
          <w:sz w:val="22"/>
          <w:szCs w:val="22"/>
        </w:rPr>
        <w:t xml:space="preserve"> RZBC </w:t>
      </w:r>
      <w:proofErr w:type="spellStart"/>
      <w:r w:rsidRPr="00050FE8">
        <w:rPr>
          <w:sz w:val="22"/>
          <w:szCs w:val="22"/>
        </w:rPr>
        <w:t>Import</w:t>
      </w:r>
      <w:proofErr w:type="spellEnd"/>
      <w:r w:rsidRPr="00050FE8">
        <w:rPr>
          <w:sz w:val="22"/>
          <w:szCs w:val="22"/>
        </w:rPr>
        <w:t xml:space="preserve"> &amp; Export., torna público que: </w:t>
      </w:r>
    </w:p>
    <w:p w:rsidR="00050FE8" w:rsidRDefault="00050FE8" w:rsidP="00314F03">
      <w:pPr>
        <w:shd w:val="clear" w:color="auto" w:fill="FFFFFF"/>
        <w:spacing w:after="0" w:line="240" w:lineRule="auto"/>
        <w:rPr>
          <w:sz w:val="22"/>
          <w:szCs w:val="22"/>
        </w:rPr>
      </w:pPr>
    </w:p>
    <w:p w:rsidR="00541BCE" w:rsidRDefault="00173EF2" w:rsidP="00314F03">
      <w:pPr>
        <w:shd w:val="clear" w:color="auto" w:fill="FFFFFF"/>
        <w:spacing w:after="0" w:line="240" w:lineRule="auto"/>
        <w:rPr>
          <w:sz w:val="22"/>
          <w:szCs w:val="22"/>
        </w:rPr>
      </w:pPr>
      <w:r w:rsidRPr="00050FE8">
        <w:rPr>
          <w:sz w:val="22"/>
          <w:szCs w:val="22"/>
        </w:rPr>
        <w:t xml:space="preserve">1. De acordo com o item C do Anexo I e com o item 3 do Anexo II da Resolução CAMEX no82, de 2017, os preços de exportação CIF serão corrigidos trimestralmente com base na variação da média do preço </w:t>
      </w:r>
      <w:proofErr w:type="spellStart"/>
      <w:r w:rsidRPr="00050FE8">
        <w:rPr>
          <w:sz w:val="22"/>
          <w:szCs w:val="22"/>
        </w:rPr>
        <w:t>nearby</w:t>
      </w:r>
      <w:proofErr w:type="spellEnd"/>
      <w:r w:rsidRPr="00050FE8">
        <w:rPr>
          <w:sz w:val="22"/>
          <w:szCs w:val="22"/>
        </w:rPr>
        <w:t xml:space="preserve"> do açúcar no 11 na Bolsa de Futuros de Nova Iorque (ICE), do trimestre imediatamente posterior ao último ajuste em relação ao trimestre imediatamente anterior ao referido ajuste, conforme fórmula de ajuste constante nos itens supracitados.</w:t>
      </w:r>
    </w:p>
    <w:p w:rsidR="00050FE8" w:rsidRDefault="00050FE8" w:rsidP="00314F03">
      <w:pPr>
        <w:shd w:val="clear" w:color="auto" w:fill="FFFFFF"/>
        <w:spacing w:after="0" w:line="240" w:lineRule="auto"/>
        <w:rPr>
          <w:sz w:val="22"/>
          <w:szCs w:val="22"/>
        </w:rPr>
      </w:pPr>
    </w:p>
    <w:p w:rsidR="00050FE8" w:rsidRDefault="00050FE8" w:rsidP="00050FE8">
      <w:pPr>
        <w:shd w:val="clear" w:color="auto" w:fill="FFFFFF"/>
        <w:spacing w:after="0" w:line="240" w:lineRule="auto"/>
        <w:rPr>
          <w:sz w:val="22"/>
          <w:szCs w:val="22"/>
        </w:rPr>
      </w:pPr>
      <w:r w:rsidRPr="00050FE8">
        <w:rPr>
          <w:sz w:val="22"/>
          <w:szCs w:val="22"/>
        </w:rPr>
        <w:lastRenderedPageBreak/>
        <w:t xml:space="preserve">2. Sendo assim, o ajuste aplicado em maio de 2019 foi determinado pela variação da média de preços do açúcar do trimestre fevereiro-março-abril/2019, que alcançou 12,81 US$ </w:t>
      </w:r>
      <w:proofErr w:type="spellStart"/>
      <w:r w:rsidRPr="00050FE8">
        <w:rPr>
          <w:sz w:val="22"/>
          <w:szCs w:val="22"/>
        </w:rPr>
        <w:t>cents</w:t>
      </w:r>
      <w:proofErr w:type="spellEnd"/>
      <w:r w:rsidRPr="00050FE8">
        <w:rPr>
          <w:sz w:val="22"/>
          <w:szCs w:val="22"/>
        </w:rPr>
        <w:t>/</w:t>
      </w:r>
      <w:proofErr w:type="spellStart"/>
      <w:r w:rsidRPr="00050FE8">
        <w:rPr>
          <w:sz w:val="22"/>
          <w:szCs w:val="22"/>
        </w:rPr>
        <w:t>lb</w:t>
      </w:r>
      <w:proofErr w:type="spellEnd"/>
      <w:r w:rsidRPr="00050FE8">
        <w:rPr>
          <w:sz w:val="22"/>
          <w:szCs w:val="22"/>
        </w:rPr>
        <w:t xml:space="preserve"> (doze centavos de dólares estadunidenses e oitenta e um décimos por libra peso), em relação à média de preços do trimestre novembro</w:t>
      </w:r>
      <w:r>
        <w:rPr>
          <w:sz w:val="22"/>
          <w:szCs w:val="22"/>
        </w:rPr>
        <w:t xml:space="preserve"> </w:t>
      </w:r>
      <w:r w:rsidRPr="00050FE8">
        <w:rPr>
          <w:sz w:val="22"/>
          <w:szCs w:val="22"/>
        </w:rPr>
        <w:t xml:space="preserve">dezembro/2018-janeiro/2019, que chegou a 12,91 US$ </w:t>
      </w:r>
      <w:proofErr w:type="spellStart"/>
      <w:r w:rsidRPr="00050FE8">
        <w:rPr>
          <w:sz w:val="22"/>
          <w:szCs w:val="22"/>
        </w:rPr>
        <w:t>cents</w:t>
      </w:r>
      <w:proofErr w:type="spellEnd"/>
      <w:r w:rsidRPr="00050FE8">
        <w:rPr>
          <w:sz w:val="22"/>
          <w:szCs w:val="22"/>
        </w:rPr>
        <w:t>/</w:t>
      </w:r>
      <w:proofErr w:type="spellStart"/>
      <w:r w:rsidRPr="00050FE8">
        <w:rPr>
          <w:sz w:val="22"/>
          <w:szCs w:val="22"/>
        </w:rPr>
        <w:t>lb</w:t>
      </w:r>
      <w:proofErr w:type="spellEnd"/>
      <w:r w:rsidRPr="00050FE8">
        <w:rPr>
          <w:sz w:val="22"/>
          <w:szCs w:val="22"/>
        </w:rPr>
        <w:t xml:space="preserve"> (doze centavos de dólares estadunidenses e noventa e um décimos por libra peso).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3. Observada a fórmula de ajuste, calculou-se fator de correção de 0,9970431, aplicado sobre o preço dos compromissos de preços firmados.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Dessa maneira, deverão ser observados preços CIF não inferiores a US$ 1.123,91/t (mil cento e vinte e três dólares estadunidenses e noventa e um centavos por tonelada) para mercadorias desembaraçadas ao amparo do compromisso.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4. Esta Circular entra em vigor em um prazo de 10 (dez) dias a partir da data de sua publicação no D.O.U. LUCAS FERRAZ </w:t>
      </w:r>
    </w:p>
    <w:p w:rsidR="00050FE8" w:rsidRDefault="00050FE8" w:rsidP="00314F03">
      <w:pPr>
        <w:shd w:val="clear" w:color="auto" w:fill="FFFFFF"/>
        <w:spacing w:after="0" w:line="240" w:lineRule="auto"/>
        <w:rPr>
          <w:sz w:val="22"/>
          <w:szCs w:val="22"/>
        </w:rPr>
      </w:pPr>
    </w:p>
    <w:p w:rsidR="00050FE8" w:rsidRDefault="00050FE8" w:rsidP="00314F03">
      <w:pPr>
        <w:shd w:val="clear" w:color="auto" w:fill="FFFFFF"/>
        <w:spacing w:after="0" w:line="240" w:lineRule="auto"/>
        <w:rPr>
          <w:sz w:val="22"/>
          <w:szCs w:val="22"/>
        </w:rPr>
      </w:pPr>
    </w:p>
    <w:p w:rsidR="00050FE8" w:rsidRPr="00050FE8" w:rsidRDefault="00173EF2" w:rsidP="00050FE8">
      <w:pPr>
        <w:shd w:val="clear" w:color="auto" w:fill="FFFFFF"/>
        <w:spacing w:after="0" w:line="240" w:lineRule="auto"/>
        <w:jc w:val="center"/>
        <w:rPr>
          <w:b/>
          <w:bCs/>
          <w:sz w:val="22"/>
          <w:szCs w:val="22"/>
        </w:rPr>
      </w:pPr>
      <w:r w:rsidRPr="00050FE8">
        <w:rPr>
          <w:b/>
          <w:bCs/>
          <w:sz w:val="22"/>
          <w:szCs w:val="22"/>
        </w:rPr>
        <w:t xml:space="preserve">CIRCULAR </w:t>
      </w:r>
      <w:r w:rsidR="00050FE8" w:rsidRPr="00050FE8">
        <w:rPr>
          <w:b/>
          <w:bCs/>
          <w:sz w:val="22"/>
          <w:szCs w:val="22"/>
        </w:rPr>
        <w:t xml:space="preserve">SECEX </w:t>
      </w:r>
      <w:r w:rsidRPr="00050FE8">
        <w:rPr>
          <w:b/>
          <w:bCs/>
          <w:sz w:val="22"/>
          <w:szCs w:val="22"/>
        </w:rPr>
        <w:t xml:space="preserve">Nº 34, DE 27 DE MAIO DE 2019 </w:t>
      </w:r>
      <w:r w:rsidR="00050FE8" w:rsidRPr="00050FE8">
        <w:rPr>
          <w:b/>
          <w:bCs/>
          <w:sz w:val="22"/>
          <w:szCs w:val="22"/>
        </w:rPr>
        <w:t>(dou 28/5/2019)</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O SECRETÁRIO DE COMÉRCIO EXTERIOR, DA SECRETARIA ESPECIAL DE COMÉRCIO EXTERIOR E ASSUNTOS INTERNACIONAIS, DO MINISTÉRIO DA ECONOMIA, em consonância com o disposto no Acordo sobre a Implementação do Artigo VI do Acordo Geral sobre Tarifas e Comércio - GATT 1994, aprovado pelo Decreto Legislativo no 30, de 15 de dezembro de 1994, promulgado pelo Decreto no 1.355, de 30 de dezembro de 1994 e regulamentado pelo Decreto n o 8.058, de 26 de julho de 2013, torna público que: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1. Conforme o previsto no art. 1o da Resolução da Câmara de Comércio Exterior - CAMEX no 4 de 28 de janeiro de 2015, publicada no Diário Oficial da União - D.O.U. de 30 de janeiro de 2015, o prazo de vigência do direito antidumping aplicado às importações brasileiras de arames de aço galvanizados com diâmetro de 1,70 a 3,50 mm, revestidos de camada de zinco com gramatura de 20 a 70 g/m² e resistência à tração de 80 a 140 kgf/mm², comumente classificados nos itens 7217.20.10 e 7217.20.90 da Nomenclatura Comum do MERCOSUL - NCM, originárias da Suécia, encerrar-se-á no dia 30 de janeiro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2. Conforme previsto no art. 1o da Resolução da Câmara de Comércio Exterior - CAMEX no 5, de 28 de janeiro de 2015, publicada no Diário Oficial da União - D.O.U. de 30 de janeiro de 2015, o prazo de vigência do direito antidumping aplicado às importações brasileiras de eletrodos de grafite menores, com diâmetro de até 450mm (18 polegadas), de qualquer comprimento, usinados ou não usinados, montados ou desmontados, dos tipos utilizados em fornos elétricos, comumente classificados nos itens 8545.11.00 e 3801.10.00 da Nomenclatura Comum do MERCOSUL - NCM, originárias da República Popular da China, encerrar-se-á no dia 30 de janeiro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3. Conforme previsto no art. 1o da Resolução da Câmara de Comércio Exterior - CAMEX no 10, de 4 de março de 2015, publicada no Diário Oficial da União - D.O.U. de 5 de março de 2015, o prazo de vigência do direito antidumping aplicado às importações brasileiras de tubos circulares de cobre refinados, com aperfeiçoamento na superfície interna, normalmente chamado de ranhuras, com diâmetro externo entre 5 e 15,87 mm e espessura de parede entre 0,22 e 0,4 mm, em qualquer comprimento, de superfície externa lisa, independentemente do processo de fabricação, do acabamento das extremidades, do revestimento externo, do isolamento, de acessórios acoplados, ou da configuração física, comumente classificados no item 7411.10.90 </w:t>
      </w:r>
      <w:r w:rsidRPr="00050FE8">
        <w:rPr>
          <w:sz w:val="22"/>
          <w:szCs w:val="22"/>
        </w:rPr>
        <w:lastRenderedPageBreak/>
        <w:t xml:space="preserve">da Nomenclatura Comum do MERCOSUL - NCM, originárias da República Popular da China e dos Estados Unidos Mexicanos, encerrar-se-á no dia 5 de março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4. Conforme previsto no art. 1o da Resolução da Câmara de Comércio Exterior - CAMEX no 9, de 4 de março de 2015, publicada no Diário Oficial da União - D.O.U. de 5 de março de 2015, o prazo de vigência do direito antidumping aplicado às importações brasileiras de chapas pré-sensibilizadas de alumínio para impressão </w:t>
      </w:r>
      <w:proofErr w:type="spellStart"/>
      <w:r w:rsidRPr="00050FE8">
        <w:rPr>
          <w:sz w:val="22"/>
          <w:szCs w:val="22"/>
        </w:rPr>
        <w:t>off-set</w:t>
      </w:r>
      <w:proofErr w:type="spellEnd"/>
      <w:r w:rsidRPr="00050FE8">
        <w:rPr>
          <w:sz w:val="22"/>
          <w:szCs w:val="22"/>
        </w:rPr>
        <w:t xml:space="preserve">, comumente classificadas nos itens 3701.30.21 e 3701.30.31 da Nomenclatura Comum do MERCOSUL - NCM, originárias da República Popular da China, encerrar-se-á no dia 5 de março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5. Conforme previsto no art. 1o da Resolução da Câmara de Comércio Exterior - CAMEX no 15, de 31 de março de 2015, publicada no Diário Oficial da União - D.O.U. de 1º de abril de 2015, o prazo de vigência do direito antidumping aplicado às importações brasileiras de ácido </w:t>
      </w:r>
      <w:proofErr w:type="spellStart"/>
      <w:r w:rsidRPr="00050FE8">
        <w:rPr>
          <w:sz w:val="22"/>
          <w:szCs w:val="22"/>
        </w:rPr>
        <w:t>adípico</w:t>
      </w:r>
      <w:proofErr w:type="spellEnd"/>
      <w:r w:rsidRPr="00050FE8">
        <w:rPr>
          <w:sz w:val="22"/>
          <w:szCs w:val="22"/>
        </w:rPr>
        <w:t xml:space="preserve">, comumente classificado no item 2917.12.10 da Nomenclatura Comum do MERCOSUL - NCM, originárias da Alemanha, dos EUA, da França, da Itália e da China, </w:t>
      </w:r>
      <w:proofErr w:type="spellStart"/>
      <w:r w:rsidRPr="00050FE8">
        <w:rPr>
          <w:sz w:val="22"/>
          <w:szCs w:val="22"/>
        </w:rPr>
        <w:t>encerrarse-á</w:t>
      </w:r>
      <w:proofErr w:type="spellEnd"/>
      <w:r w:rsidRPr="00050FE8">
        <w:rPr>
          <w:sz w:val="22"/>
          <w:szCs w:val="22"/>
        </w:rPr>
        <w:t xml:space="preserve"> no dia 1º de abril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6. Conforme previsto no art. 1o da Resolução da Câmara de Comércio Exterior - CAMEX no 26, de 29 de abril de 2015, publicada no Diário Oficial da União - D.O.U. de 30 de abril de 2015, o prazo de vigência do direito antidumping aplicado às importações brasileiras de tubos de plástico para coleta de sangue a vácuo, comumente classificadas nos itens 3822.00.90, 3926.90.40 e 9018.39.99 da Nomenclatura Comum do Mercosul - NCM, originárias da República Federal da Alemanha, dos Estados Unidos da América, do Reino Unido da </w:t>
      </w:r>
      <w:proofErr w:type="spellStart"/>
      <w:r w:rsidRPr="00050FE8">
        <w:rPr>
          <w:sz w:val="22"/>
          <w:szCs w:val="22"/>
        </w:rPr>
        <w:t>GrãBretanha</w:t>
      </w:r>
      <w:proofErr w:type="spellEnd"/>
      <w:r w:rsidRPr="00050FE8">
        <w:rPr>
          <w:sz w:val="22"/>
          <w:szCs w:val="22"/>
        </w:rPr>
        <w:t xml:space="preserve"> e Irlanda do Norte e da República Popular da China, encerrar-se-á no dia 30 de abril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7. Conforme previsto no art. 1o da Resolução da Câmara de Comércio Exterior - CAMEX no 31, de 29 de abril de 2015, publicada no Diário Oficial da União - D.O.U. de 4 de maio de 2015, o prazo de vigência do direito antidumping aplicado às importações brasileiras de ímãs de </w:t>
      </w:r>
      <w:proofErr w:type="spellStart"/>
      <w:r w:rsidRPr="00050FE8">
        <w:rPr>
          <w:sz w:val="22"/>
          <w:szCs w:val="22"/>
        </w:rPr>
        <w:t>ferrite</w:t>
      </w:r>
      <w:proofErr w:type="spellEnd"/>
      <w:r w:rsidRPr="00050FE8">
        <w:rPr>
          <w:sz w:val="22"/>
          <w:szCs w:val="22"/>
        </w:rPr>
        <w:t xml:space="preserve"> em formato de segmento (arco), comumente classificados no item 8505.19.10 da Nomenclatura Comum do MERCOSUL - NCM, originárias da China e da Coreia do Sul, encerrar-se-á no dia 4 de maio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8. Conforme previsto no art. 1o da Resolução da Câmara de Comércio Exterior - CAMEX no 32, de 29 de abril de 2015, publicada no Diário Oficial da União - D.O.U. de 4 de maio de 2015, o prazo de vigência do direito antidumping aplicado às importações brasileiras de pneus de construção radial, de aros 20", 22" e 22,5", para uso em ônibus e caminhões, comumente classificados no item 4011.20.90 da Nomenclatura Comum do MERCOSUL - NCM, originárias da República Popular da China, encerrar-se-á no dia 4 de maio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9. Conforme previsto no art. 1o da Resolução da Câmara de Comércio Exterior - CAMEX no 46, de 21 de maio de 2015, publicada no Diário Oficial da União - D.O.U. de 22 de maio de 2015, o prazo de vigência do direito antidumping aplicado às importações brasileiras de filmes, chapas, folhas, películas, tiras e lâminas, biaxialmente orientados, de poli(tereftalato de etileno), de espessura igual ou superior a 5 micrômetros, e igual ou inferior a 50 micrômetros, metalizado ou não, sem tratamento ou com tratamento tipo </w:t>
      </w:r>
      <w:proofErr w:type="spellStart"/>
      <w:r w:rsidRPr="00050FE8">
        <w:rPr>
          <w:sz w:val="22"/>
          <w:szCs w:val="22"/>
        </w:rPr>
        <w:t>coextrusão</w:t>
      </w:r>
      <w:proofErr w:type="spellEnd"/>
      <w:r w:rsidRPr="00050FE8">
        <w:rPr>
          <w:sz w:val="22"/>
          <w:szCs w:val="22"/>
        </w:rPr>
        <w:t xml:space="preserve">, químico ou com descarga de corona, comumente classificados nos itens 3920.62.19, 3920.62.91 e 3920.62.99 da Nomenclatura Comum do MERCOSUL - NCM, originárias da República Popular da China, da República Árabe do Egito e da República da Índia, encerrar-se-á no dia 22 de maio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10. Conforme previsto no art. 1o da Resolução da Câmara de Comércio Exterior - CAMEX no 57, de 19 de junho de 2015, publicada no Diário Oficial da União - D.O.U. de 22 de junho de 2015, o prazo de vigência do direito antidumping aplicado às importações brasileiras de tubos de </w:t>
      </w:r>
      <w:r w:rsidRPr="00050FE8">
        <w:rPr>
          <w:sz w:val="22"/>
          <w:szCs w:val="22"/>
        </w:rPr>
        <w:lastRenderedPageBreak/>
        <w:t xml:space="preserve">borracha elastomérica, comumente classificados no item 4009.11.00 da Nomenclatura Comum do Mercosul - NCM, originárias da Alemanha, dos Emirados Árabes Unidos, de Israel, da Itália e da Malásia, encerrar-se-á no dia 22 de junho de 2020.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11. Conforme previsto no art. 1o da Resolução da Câmara de Comércio Exterior - CAMEX no 58, de 19 de junho de 2015, publicada no Diário Oficial da União - D.O.U. de 22 de junho de 2015, o prazo de vigência do direito antidumping aplicado às importações brasileiras de seringas descartáveis de uso geral, de plástico, com capacidade de 1ml, 3ml, 5 ml, 10 ml ou 20 ml, com ou sem agulhas, comumente classificadas nos itens 9018.31.11 e 9018.31.19 da Nomenclatura Comum do MERCOSUL - NCM, originárias da China, encerrar-se-á no dia 22 de junho de 2020. 12. Conforme previsto no art. 111 do Decreto nº 8.058, de 2013, as partes que desejarem iniciar uma revisão deverão protocolar petição de revisão de final de período, que deverá conter as informações previstas na Portaria SECEX no 44, de 29 de outubro de 2013, no mínimo quatro meses antes da data do término do período de vigência do direito antidumping. </w:t>
      </w:r>
    </w:p>
    <w:p w:rsidR="00050FE8" w:rsidRDefault="00050FE8" w:rsidP="00314F03">
      <w:pPr>
        <w:shd w:val="clear" w:color="auto" w:fill="FFFFFF"/>
        <w:spacing w:after="0" w:line="240" w:lineRule="auto"/>
        <w:rPr>
          <w:sz w:val="22"/>
          <w:szCs w:val="22"/>
        </w:rPr>
      </w:pPr>
    </w:p>
    <w:p w:rsidR="00050FE8" w:rsidRDefault="00173EF2" w:rsidP="00314F03">
      <w:pPr>
        <w:shd w:val="clear" w:color="auto" w:fill="FFFFFF"/>
        <w:spacing w:after="0" w:line="240" w:lineRule="auto"/>
        <w:rPr>
          <w:sz w:val="22"/>
          <w:szCs w:val="22"/>
        </w:rPr>
      </w:pPr>
      <w:r w:rsidRPr="00050FE8">
        <w:rPr>
          <w:sz w:val="22"/>
          <w:szCs w:val="22"/>
        </w:rPr>
        <w:t xml:space="preserve">15. Em conformidade com o previsto na Portaria SECEX no 30, de 7 de junho de 2018, o protocolo das petições de revisão de final de período deverá ser feito por meio do Sistema DECOM Digital - SDD, o qual pode ser acessado no sítio eletrônico </w:t>
      </w:r>
      <w:hyperlink r:id="rId6" w:history="1">
        <w:r w:rsidR="00050FE8" w:rsidRPr="0044045E">
          <w:rPr>
            <w:rStyle w:val="Hyperlink"/>
            <w:sz w:val="22"/>
            <w:szCs w:val="22"/>
          </w:rPr>
          <w:t>http://decomdigital.mdic.gov.br</w:t>
        </w:r>
      </w:hyperlink>
      <w:r w:rsidRPr="00050FE8">
        <w:rPr>
          <w:sz w:val="22"/>
          <w:szCs w:val="22"/>
        </w:rPr>
        <w:t xml:space="preserve"> </w:t>
      </w:r>
    </w:p>
    <w:p w:rsidR="00050FE8" w:rsidRDefault="00050FE8" w:rsidP="00314F03">
      <w:pPr>
        <w:shd w:val="clear" w:color="auto" w:fill="FFFFFF"/>
        <w:spacing w:after="0" w:line="240" w:lineRule="auto"/>
        <w:rPr>
          <w:sz w:val="22"/>
          <w:szCs w:val="22"/>
        </w:rPr>
      </w:pPr>
    </w:p>
    <w:p w:rsidR="00173EF2" w:rsidRPr="00050FE8" w:rsidRDefault="00173EF2" w:rsidP="00314F03">
      <w:pPr>
        <w:shd w:val="clear" w:color="auto" w:fill="FFFFFF"/>
        <w:spacing w:after="0" w:line="240" w:lineRule="auto"/>
        <w:rPr>
          <w:sz w:val="22"/>
          <w:szCs w:val="22"/>
        </w:rPr>
      </w:pPr>
      <w:r w:rsidRPr="00050FE8">
        <w:rPr>
          <w:sz w:val="22"/>
          <w:szCs w:val="22"/>
        </w:rPr>
        <w:t>16. Esclarecimentos adicionais podem ser obtidos pelos telefones +55 61 2027-7770. LUCAS FERRAZ</w:t>
      </w:r>
    </w:p>
    <w:p w:rsidR="00C35D84" w:rsidRPr="00050FE8" w:rsidRDefault="00C35D84" w:rsidP="00314F03">
      <w:pPr>
        <w:shd w:val="clear" w:color="auto" w:fill="FFFFFF"/>
        <w:spacing w:after="0" w:line="240" w:lineRule="auto"/>
        <w:rPr>
          <w:sz w:val="22"/>
          <w:szCs w:val="22"/>
        </w:rPr>
      </w:pPr>
    </w:p>
    <w:p w:rsidR="00050FE8" w:rsidRDefault="00050FE8" w:rsidP="00C35D84">
      <w:pPr>
        <w:pStyle w:val="identifica"/>
        <w:shd w:val="clear" w:color="auto" w:fill="FFFFFF"/>
        <w:spacing w:before="450" w:beforeAutospacing="0" w:after="450" w:afterAutospacing="0"/>
        <w:jc w:val="center"/>
        <w:rPr>
          <w:rFonts w:asciiTheme="minorHAnsi" w:hAnsiTheme="minorHAnsi" w:cs="Arial"/>
          <w:b/>
          <w:bCs/>
          <w:caps/>
          <w:color w:val="162937"/>
          <w:sz w:val="22"/>
          <w:szCs w:val="22"/>
        </w:rPr>
      </w:pPr>
    </w:p>
    <w:p w:rsidR="00C35D84" w:rsidRPr="00050FE8" w:rsidRDefault="00C35D84" w:rsidP="00C35D84">
      <w:pPr>
        <w:pStyle w:val="identifica"/>
        <w:shd w:val="clear" w:color="auto" w:fill="FFFFFF"/>
        <w:spacing w:before="450" w:beforeAutospacing="0" w:after="450" w:afterAutospacing="0"/>
        <w:jc w:val="center"/>
        <w:rPr>
          <w:rFonts w:asciiTheme="minorHAnsi" w:hAnsiTheme="minorHAnsi" w:cs="Arial"/>
          <w:b/>
          <w:bCs/>
          <w:caps/>
          <w:color w:val="162937"/>
          <w:sz w:val="22"/>
          <w:szCs w:val="22"/>
        </w:rPr>
      </w:pPr>
      <w:r w:rsidRPr="00050FE8">
        <w:rPr>
          <w:rFonts w:asciiTheme="minorHAnsi" w:hAnsiTheme="minorHAnsi" w:cs="Arial"/>
          <w:b/>
          <w:bCs/>
          <w:caps/>
          <w:color w:val="162937"/>
          <w:sz w:val="22"/>
          <w:szCs w:val="22"/>
        </w:rPr>
        <w:t xml:space="preserve">CIRCULAR </w:t>
      </w:r>
      <w:r w:rsidR="00050FE8">
        <w:rPr>
          <w:rFonts w:asciiTheme="minorHAnsi" w:hAnsiTheme="minorHAnsi" w:cs="Arial"/>
          <w:b/>
          <w:bCs/>
          <w:caps/>
          <w:color w:val="162937"/>
          <w:sz w:val="22"/>
          <w:szCs w:val="22"/>
        </w:rPr>
        <w:t xml:space="preserve">SECEX </w:t>
      </w:r>
      <w:r w:rsidRPr="00050FE8">
        <w:rPr>
          <w:rFonts w:asciiTheme="minorHAnsi" w:hAnsiTheme="minorHAnsi" w:cs="Arial"/>
          <w:b/>
          <w:bCs/>
          <w:caps/>
          <w:color w:val="162937"/>
          <w:sz w:val="22"/>
          <w:szCs w:val="22"/>
        </w:rPr>
        <w:t>Nº 35, DE 27 DE MAIO DE 2019</w:t>
      </w:r>
      <w:r w:rsidR="00050FE8">
        <w:rPr>
          <w:rFonts w:asciiTheme="minorHAnsi" w:hAnsiTheme="minorHAnsi" w:cs="Arial"/>
          <w:b/>
          <w:bCs/>
          <w:caps/>
          <w:color w:val="162937"/>
          <w:sz w:val="22"/>
          <w:szCs w:val="22"/>
        </w:rPr>
        <w:t xml:space="preserve"> (dou 28/05/2019)</w:t>
      </w:r>
    </w:p>
    <w:p w:rsidR="00C35D84" w:rsidRPr="00050FE8" w:rsidRDefault="00C35D84" w:rsidP="00C35D84">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050FE8">
        <w:rPr>
          <w:rFonts w:asciiTheme="minorHAnsi" w:hAnsiTheme="minorHAnsi" w:cs="Arial"/>
          <w:color w:val="162937"/>
          <w:sz w:val="22"/>
          <w:szCs w:val="22"/>
        </w:rPr>
        <w:t xml:space="preserve">O SECRETÁRIO DE COMÉRCIO EXTERIOR DA SECRETARIA ESPECIAL DE COMÉRCIO EXTERIOR E ASSUNTOS INTERNACIONAIS DO MINISTÉRIO DA ECONOMIA, em consonância com o disposto no Acordo sobre a Implementação do Artigo VI do Acordo Geral sobre Tarifas e Comércio - GATT 1994, aprovado pelo Decreto Legislativo no30, de 15 de dezembro de 1994, promulgado pelo Decreto no1.355, de 30 de dezembro de 1994 e o contido no Decreto no8.058, de 26 de julho de 2013, especialmente o previsto nos </w:t>
      </w:r>
      <w:proofErr w:type="spellStart"/>
      <w:r w:rsidRPr="00050FE8">
        <w:rPr>
          <w:rFonts w:asciiTheme="minorHAnsi" w:hAnsiTheme="minorHAnsi" w:cs="Arial"/>
          <w:color w:val="162937"/>
          <w:sz w:val="22"/>
          <w:szCs w:val="22"/>
        </w:rPr>
        <w:t>arts</w:t>
      </w:r>
      <w:proofErr w:type="spellEnd"/>
      <w:r w:rsidRPr="00050FE8">
        <w:rPr>
          <w:rFonts w:asciiTheme="minorHAnsi" w:hAnsiTheme="minorHAnsi" w:cs="Arial"/>
          <w:color w:val="162937"/>
          <w:sz w:val="22"/>
          <w:szCs w:val="22"/>
        </w:rPr>
        <w:t>. 5oe 72, e tendo em vista o constante no Processo MDIC/SECEX no52272.002071/2018-88, decide:</w:t>
      </w:r>
    </w:p>
    <w:p w:rsidR="00C35D84" w:rsidRPr="00050FE8" w:rsidRDefault="00C35D84" w:rsidP="00C35D84">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050FE8">
        <w:rPr>
          <w:rFonts w:asciiTheme="minorHAnsi" w:hAnsiTheme="minorHAnsi" w:cs="Arial"/>
          <w:color w:val="162937"/>
          <w:sz w:val="22"/>
          <w:szCs w:val="22"/>
        </w:rPr>
        <w:t xml:space="preserve">Prorrogar por até dois meses, a partir de 24 de outubro de 2019, o prazo para conclusão da revisão de final de período do direito antidumping aplicado às exportações para o Brasil de fios têxteis de filamentos contínuos de náilon (poliamida 6, poliamida 6,6) de título inferior a 50 </w:t>
      </w:r>
      <w:proofErr w:type="spellStart"/>
      <w:r w:rsidRPr="00050FE8">
        <w:rPr>
          <w:rFonts w:asciiTheme="minorHAnsi" w:hAnsiTheme="minorHAnsi" w:cs="Arial"/>
          <w:color w:val="162937"/>
          <w:sz w:val="22"/>
          <w:szCs w:val="22"/>
        </w:rPr>
        <w:t>tex</w:t>
      </w:r>
      <w:proofErr w:type="spellEnd"/>
      <w:r w:rsidRPr="00050FE8">
        <w:rPr>
          <w:rFonts w:asciiTheme="minorHAnsi" w:hAnsiTheme="minorHAnsi" w:cs="Arial"/>
          <w:color w:val="162937"/>
          <w:sz w:val="22"/>
          <w:szCs w:val="22"/>
        </w:rPr>
        <w:t xml:space="preserve">, qualquer número de filamentos, perfil ou </w:t>
      </w:r>
      <w:proofErr w:type="spellStart"/>
      <w:r w:rsidRPr="00050FE8">
        <w:rPr>
          <w:rFonts w:asciiTheme="minorHAnsi" w:hAnsiTheme="minorHAnsi" w:cs="Arial"/>
          <w:color w:val="162937"/>
          <w:sz w:val="22"/>
          <w:szCs w:val="22"/>
        </w:rPr>
        <w:t>maticidade</w:t>
      </w:r>
      <w:proofErr w:type="spellEnd"/>
      <w:r w:rsidRPr="00050FE8">
        <w:rPr>
          <w:rFonts w:asciiTheme="minorHAnsi" w:hAnsiTheme="minorHAnsi" w:cs="Arial"/>
          <w:color w:val="162937"/>
          <w:sz w:val="22"/>
          <w:szCs w:val="22"/>
        </w:rPr>
        <w:t xml:space="preserve"> (brilhante, opaco ou </w:t>
      </w:r>
      <w:proofErr w:type="spellStart"/>
      <w:r w:rsidRPr="00050FE8">
        <w:rPr>
          <w:rFonts w:asciiTheme="minorHAnsi" w:hAnsiTheme="minorHAnsi" w:cs="Arial"/>
          <w:color w:val="162937"/>
          <w:sz w:val="22"/>
          <w:szCs w:val="22"/>
        </w:rPr>
        <w:t>semi-opaco</w:t>
      </w:r>
      <w:proofErr w:type="spellEnd"/>
      <w:r w:rsidRPr="00050FE8">
        <w:rPr>
          <w:rFonts w:asciiTheme="minorHAnsi" w:hAnsiTheme="minorHAnsi" w:cs="Arial"/>
          <w:color w:val="162937"/>
          <w:sz w:val="22"/>
          <w:szCs w:val="22"/>
        </w:rPr>
        <w:t>), lisos ou texturizados, sem torção ou com torção inferior a 50 voltas por metro, tintos, crus ou branqueados (fios de náilon), comumente classificados nos subitens 5402.31.11, 5402.31.19 e 5402.45.20 da Nomenclatura Comum do Mercosul - NCM, originárias da China, da Coreia do Sul e de Taipé Chinês, e de dano à indústria doméstica decorrente de tal prática, objeto do processo MDIC/SECEX no52272.002071/2018-88.</w:t>
      </w:r>
    </w:p>
    <w:p w:rsidR="00C35D84" w:rsidRPr="00050FE8" w:rsidRDefault="00C35D84" w:rsidP="00C35D84">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050FE8">
        <w:rPr>
          <w:rFonts w:asciiTheme="minorHAnsi" w:hAnsiTheme="minorHAnsi" w:cs="Arial"/>
          <w:color w:val="162937"/>
          <w:sz w:val="22"/>
          <w:szCs w:val="22"/>
        </w:rPr>
        <w:t xml:space="preserve">Tornar públicos os prazos a que fazem referência os </w:t>
      </w:r>
      <w:proofErr w:type="spellStart"/>
      <w:r w:rsidRPr="00050FE8">
        <w:rPr>
          <w:rFonts w:asciiTheme="minorHAnsi" w:hAnsiTheme="minorHAnsi" w:cs="Arial"/>
          <w:color w:val="162937"/>
          <w:sz w:val="22"/>
          <w:szCs w:val="22"/>
        </w:rPr>
        <w:t>arts</w:t>
      </w:r>
      <w:proofErr w:type="spellEnd"/>
      <w:r w:rsidRPr="00050FE8">
        <w:rPr>
          <w:rFonts w:asciiTheme="minorHAnsi" w:hAnsiTheme="minorHAnsi" w:cs="Arial"/>
          <w:color w:val="162937"/>
          <w:sz w:val="22"/>
          <w:szCs w:val="22"/>
        </w:rPr>
        <w:t>. 59 a 63 do Decreto no8.058, de 2013:</w:t>
      </w:r>
    </w:p>
    <w:tbl>
      <w:tblPr>
        <w:tblW w:w="0" w:type="auto"/>
        <w:tblCellMar>
          <w:top w:w="15" w:type="dxa"/>
          <w:left w:w="15" w:type="dxa"/>
          <w:bottom w:w="15" w:type="dxa"/>
          <w:right w:w="15" w:type="dxa"/>
        </w:tblCellMar>
        <w:tblLook w:val="04A0" w:firstRow="1" w:lastRow="0" w:firstColumn="1" w:lastColumn="0" w:noHBand="0" w:noVBand="1"/>
      </w:tblPr>
      <w:tblGrid>
        <w:gridCol w:w="1727"/>
        <w:gridCol w:w="5519"/>
        <w:gridCol w:w="1258"/>
      </w:tblGrid>
      <w:tr w:rsidR="00C35D84" w:rsidRPr="00050FE8" w:rsidTr="00C35D84">
        <w:trPr>
          <w:gridAfter w:val="2"/>
        </w:trPr>
        <w:tc>
          <w:tcPr>
            <w:tcW w:w="0" w:type="auto"/>
            <w:vAlign w:val="center"/>
            <w:hideMark/>
          </w:tcPr>
          <w:p w:rsidR="00C35D84" w:rsidRPr="00050FE8" w:rsidRDefault="00C35D84">
            <w:pPr>
              <w:rPr>
                <w:rFonts w:cs="Arial"/>
                <w:color w:val="162937"/>
                <w:sz w:val="22"/>
                <w:szCs w:val="22"/>
              </w:rPr>
            </w:pPr>
          </w:p>
        </w:tc>
      </w:tr>
      <w:tr w:rsidR="00C35D84" w:rsidRPr="00050FE8" w:rsidTr="00C35D8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lastRenderedPageBreak/>
              <w:t>Disposição legal</w:t>
            </w:r>
          </w:p>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Decreto n </w:t>
            </w:r>
            <w:r w:rsidRPr="00050FE8">
              <w:rPr>
                <w:rFonts w:asciiTheme="minorHAnsi" w:hAnsiTheme="minorHAnsi"/>
                <w:sz w:val="22"/>
                <w:szCs w:val="22"/>
                <w:u w:val="single"/>
              </w:rPr>
              <w:t>o</w:t>
            </w:r>
            <w:r w:rsidRPr="00050FE8">
              <w:rPr>
                <w:rFonts w:asciiTheme="minorHAnsi" w:hAnsiTheme="minorHAnsi"/>
                <w:sz w:val="22"/>
                <w:szCs w:val="22"/>
              </w:rPr>
              <w:t> 8.058/2013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Prazos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Datas previstas</w:t>
            </w:r>
          </w:p>
        </w:tc>
      </w:tr>
      <w:tr w:rsidR="00C35D84" w:rsidRPr="00050FE8" w:rsidTr="00C35D8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Expedição, pela SDCOM, do parecer de determinação preliminar.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29/08/2019</w:t>
            </w:r>
          </w:p>
        </w:tc>
      </w:tr>
      <w:tr w:rsidR="00C35D84" w:rsidRPr="00050FE8" w:rsidTr="00C35D8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Encerramento da fase probatória da revisão.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19/09/2019</w:t>
            </w:r>
          </w:p>
        </w:tc>
      </w:tr>
      <w:tr w:rsidR="00C35D84" w:rsidRPr="00050FE8" w:rsidTr="00C35D8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09/10/2019</w:t>
            </w:r>
          </w:p>
        </w:tc>
      </w:tr>
      <w:tr w:rsidR="00C35D84" w:rsidRPr="00050FE8" w:rsidTr="00C35D8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30/10/2019</w:t>
            </w:r>
          </w:p>
        </w:tc>
      </w:tr>
      <w:tr w:rsidR="00C35D84" w:rsidRPr="00050FE8" w:rsidTr="00C35D8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19/11/2019</w:t>
            </w:r>
          </w:p>
        </w:tc>
      </w:tr>
      <w:tr w:rsidR="00C35D84" w:rsidRPr="00050FE8" w:rsidTr="00C35D8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Expedição, pela SDCOM, do parecer de determinação final.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C35D84" w:rsidRPr="00050FE8" w:rsidRDefault="00C35D84">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04/12/2019</w:t>
            </w:r>
          </w:p>
        </w:tc>
      </w:tr>
    </w:tbl>
    <w:p w:rsidR="00C35D84" w:rsidRPr="00050FE8" w:rsidRDefault="00C35D84" w:rsidP="00C35D84">
      <w:pPr>
        <w:pStyle w:val="assina"/>
        <w:shd w:val="clear" w:color="auto" w:fill="FFFFFF"/>
        <w:spacing w:before="300" w:beforeAutospacing="0" w:after="0" w:afterAutospacing="0"/>
        <w:jc w:val="center"/>
        <w:rPr>
          <w:rFonts w:asciiTheme="minorHAnsi" w:hAnsiTheme="minorHAnsi" w:cs="Arial"/>
          <w:b/>
          <w:bCs/>
          <w:caps/>
          <w:color w:val="162937"/>
          <w:sz w:val="22"/>
          <w:szCs w:val="22"/>
        </w:rPr>
      </w:pPr>
      <w:r w:rsidRPr="00050FE8">
        <w:rPr>
          <w:rFonts w:asciiTheme="minorHAnsi" w:hAnsiTheme="minorHAnsi" w:cs="Arial"/>
          <w:b/>
          <w:bCs/>
          <w:caps/>
          <w:color w:val="162937"/>
          <w:sz w:val="22"/>
          <w:szCs w:val="22"/>
        </w:rPr>
        <w:t>LUCAS FERRAZ</w:t>
      </w:r>
    </w:p>
    <w:p w:rsidR="00C35D84" w:rsidRDefault="00C35D84" w:rsidP="00314F03">
      <w:pPr>
        <w:shd w:val="clear" w:color="auto" w:fill="FFFFFF"/>
        <w:spacing w:after="0" w:line="240" w:lineRule="auto"/>
        <w:rPr>
          <w:sz w:val="22"/>
          <w:szCs w:val="22"/>
        </w:rPr>
      </w:pPr>
    </w:p>
    <w:sectPr w:rsidR="00C35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0FE8"/>
    <w:rsid w:val="00051C64"/>
    <w:rsid w:val="00055A7A"/>
    <w:rsid w:val="00056318"/>
    <w:rsid w:val="00057189"/>
    <w:rsid w:val="0006113C"/>
    <w:rsid w:val="000612AA"/>
    <w:rsid w:val="00062AF3"/>
    <w:rsid w:val="00065F14"/>
    <w:rsid w:val="00066C2B"/>
    <w:rsid w:val="00066D09"/>
    <w:rsid w:val="000700B0"/>
    <w:rsid w:val="00071655"/>
    <w:rsid w:val="00071B36"/>
    <w:rsid w:val="00072BFC"/>
    <w:rsid w:val="00072C60"/>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067"/>
    <w:rsid w:val="000D580C"/>
    <w:rsid w:val="000D5C96"/>
    <w:rsid w:val="000D6D0C"/>
    <w:rsid w:val="000D6E29"/>
    <w:rsid w:val="000E0386"/>
    <w:rsid w:val="000E3531"/>
    <w:rsid w:val="000E4697"/>
    <w:rsid w:val="000E6A1A"/>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3EF2"/>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6FB"/>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D84"/>
    <w:rsid w:val="0027465C"/>
    <w:rsid w:val="00281BC9"/>
    <w:rsid w:val="0028285B"/>
    <w:rsid w:val="0028380A"/>
    <w:rsid w:val="00284274"/>
    <w:rsid w:val="00287275"/>
    <w:rsid w:val="00291EE6"/>
    <w:rsid w:val="00292FEE"/>
    <w:rsid w:val="00293FE3"/>
    <w:rsid w:val="00294F5D"/>
    <w:rsid w:val="0029546B"/>
    <w:rsid w:val="0029677A"/>
    <w:rsid w:val="0029691F"/>
    <w:rsid w:val="002979EA"/>
    <w:rsid w:val="00297A9B"/>
    <w:rsid w:val="00297D57"/>
    <w:rsid w:val="002A08EF"/>
    <w:rsid w:val="002A10E6"/>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D1078"/>
    <w:rsid w:val="002D3913"/>
    <w:rsid w:val="002D5F13"/>
    <w:rsid w:val="002D64FD"/>
    <w:rsid w:val="002D67F8"/>
    <w:rsid w:val="002D6A1E"/>
    <w:rsid w:val="002D6EFF"/>
    <w:rsid w:val="002D70A2"/>
    <w:rsid w:val="002E5E81"/>
    <w:rsid w:val="002E62A3"/>
    <w:rsid w:val="002E7552"/>
    <w:rsid w:val="002F2554"/>
    <w:rsid w:val="002F2EEC"/>
    <w:rsid w:val="002F34E6"/>
    <w:rsid w:val="002F4D92"/>
    <w:rsid w:val="002F67A4"/>
    <w:rsid w:val="002F7B8E"/>
    <w:rsid w:val="00302910"/>
    <w:rsid w:val="00304E12"/>
    <w:rsid w:val="003055BB"/>
    <w:rsid w:val="00305B60"/>
    <w:rsid w:val="003060BE"/>
    <w:rsid w:val="00306C49"/>
    <w:rsid w:val="00307299"/>
    <w:rsid w:val="00307925"/>
    <w:rsid w:val="00314F03"/>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64BD"/>
    <w:rsid w:val="00341C78"/>
    <w:rsid w:val="00342EC6"/>
    <w:rsid w:val="00343399"/>
    <w:rsid w:val="00345D97"/>
    <w:rsid w:val="00350FC6"/>
    <w:rsid w:val="003512CC"/>
    <w:rsid w:val="00353108"/>
    <w:rsid w:val="00355033"/>
    <w:rsid w:val="003576F9"/>
    <w:rsid w:val="00357753"/>
    <w:rsid w:val="00361559"/>
    <w:rsid w:val="00361882"/>
    <w:rsid w:val="00362499"/>
    <w:rsid w:val="003626D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37C96"/>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04C0"/>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BCE"/>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0B9D"/>
    <w:rsid w:val="00592241"/>
    <w:rsid w:val="0059294C"/>
    <w:rsid w:val="0059441E"/>
    <w:rsid w:val="0059649D"/>
    <w:rsid w:val="005968CE"/>
    <w:rsid w:val="005A00FF"/>
    <w:rsid w:val="005A2668"/>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1AD"/>
    <w:rsid w:val="005F5B33"/>
    <w:rsid w:val="005F617A"/>
    <w:rsid w:val="005F6F18"/>
    <w:rsid w:val="005F6F72"/>
    <w:rsid w:val="005F7A4E"/>
    <w:rsid w:val="0060225E"/>
    <w:rsid w:val="006026C9"/>
    <w:rsid w:val="00602FAF"/>
    <w:rsid w:val="00604584"/>
    <w:rsid w:val="0060494A"/>
    <w:rsid w:val="00604FF1"/>
    <w:rsid w:val="0060544E"/>
    <w:rsid w:val="00605E31"/>
    <w:rsid w:val="0060649A"/>
    <w:rsid w:val="0061153A"/>
    <w:rsid w:val="00611757"/>
    <w:rsid w:val="00611D98"/>
    <w:rsid w:val="00615124"/>
    <w:rsid w:val="00615328"/>
    <w:rsid w:val="006172C0"/>
    <w:rsid w:val="00620225"/>
    <w:rsid w:val="006214CA"/>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615F"/>
    <w:rsid w:val="00651292"/>
    <w:rsid w:val="00651BA1"/>
    <w:rsid w:val="00652311"/>
    <w:rsid w:val="006537B1"/>
    <w:rsid w:val="00653A6F"/>
    <w:rsid w:val="00653EC3"/>
    <w:rsid w:val="00654006"/>
    <w:rsid w:val="006546B4"/>
    <w:rsid w:val="00654A76"/>
    <w:rsid w:val="00655CFF"/>
    <w:rsid w:val="006566DB"/>
    <w:rsid w:val="0066045D"/>
    <w:rsid w:val="006626B5"/>
    <w:rsid w:val="00662AEC"/>
    <w:rsid w:val="00662DB0"/>
    <w:rsid w:val="006637D6"/>
    <w:rsid w:val="00664B86"/>
    <w:rsid w:val="006663D7"/>
    <w:rsid w:val="006666B9"/>
    <w:rsid w:val="00666F07"/>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053"/>
    <w:rsid w:val="00697456"/>
    <w:rsid w:val="006A121A"/>
    <w:rsid w:val="006A1FB1"/>
    <w:rsid w:val="006A395E"/>
    <w:rsid w:val="006A4A22"/>
    <w:rsid w:val="006A4E45"/>
    <w:rsid w:val="006A511B"/>
    <w:rsid w:val="006A7500"/>
    <w:rsid w:val="006A7F98"/>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0870"/>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38DD"/>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172"/>
    <w:rsid w:val="008A2309"/>
    <w:rsid w:val="008A366E"/>
    <w:rsid w:val="008A3FA5"/>
    <w:rsid w:val="008A416C"/>
    <w:rsid w:val="008B0A1E"/>
    <w:rsid w:val="008B2CFF"/>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54"/>
    <w:rsid w:val="009001B6"/>
    <w:rsid w:val="0090356F"/>
    <w:rsid w:val="00904576"/>
    <w:rsid w:val="00905EB0"/>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4F06"/>
    <w:rsid w:val="009E7382"/>
    <w:rsid w:val="009F1724"/>
    <w:rsid w:val="009F1F10"/>
    <w:rsid w:val="009F3B76"/>
    <w:rsid w:val="009F5B1F"/>
    <w:rsid w:val="009F721D"/>
    <w:rsid w:val="00A00727"/>
    <w:rsid w:val="00A01BA0"/>
    <w:rsid w:val="00A035C5"/>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645"/>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4730"/>
    <w:rsid w:val="00B94D6C"/>
    <w:rsid w:val="00B95CA2"/>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4CC"/>
    <w:rsid w:val="00BF6C5B"/>
    <w:rsid w:val="00BF73EE"/>
    <w:rsid w:val="00C00018"/>
    <w:rsid w:val="00C003E4"/>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27B7"/>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85A"/>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B7244"/>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3B9E"/>
    <w:rsid w:val="00DE4CDA"/>
    <w:rsid w:val="00DE54BE"/>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29D9"/>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307"/>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F63"/>
    <w:rsid w:val="00FD5CF4"/>
    <w:rsid w:val="00FE040C"/>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6EE5"/>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2875</Words>
  <Characters>15526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6</cp:revision>
  <dcterms:created xsi:type="dcterms:W3CDTF">2019-06-10T17:02:00Z</dcterms:created>
  <dcterms:modified xsi:type="dcterms:W3CDTF">2019-06-10T21:13:00Z</dcterms:modified>
</cp:coreProperties>
</file>